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6228" w14:textId="29CCD34E" w:rsidR="004B72B8" w:rsidRDefault="00081659" w:rsidP="000F2779">
      <w:pPr>
        <w:pStyle w:val="BodyText"/>
        <w:kinsoku w:val="0"/>
        <w:overflowPunct w:val="0"/>
        <w:rPr>
          <w:rFonts w:ascii="Times New Roman" w:hAnsi="Times New Roman" w:cs="Times New Roman"/>
        </w:rPr>
      </w:pPr>
      <w:r w:rsidRPr="00081659">
        <w:rPr>
          <w:noProof/>
          <w:sz w:val="18"/>
          <w:szCs w:val="18"/>
        </w:rPr>
        <mc:AlternateContent>
          <mc:Choice Requires="wps">
            <w:drawing>
              <wp:anchor distT="45720" distB="45720" distL="114300" distR="114300" simplePos="0" relativeHeight="251694080" behindDoc="0" locked="0" layoutInCell="1" allowOverlap="1" wp14:anchorId="60A793A0" wp14:editId="14FBB31C">
                <wp:simplePos x="0" y="0"/>
                <wp:positionH relativeFrom="column">
                  <wp:posOffset>4116070</wp:posOffset>
                </wp:positionH>
                <wp:positionV relativeFrom="paragraph">
                  <wp:posOffset>0</wp:posOffset>
                </wp:positionV>
                <wp:extent cx="2354579" cy="2011044"/>
                <wp:effectExtent l="0" t="0" r="2349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79" cy="2011044"/>
                        </a:xfrm>
                        <a:prstGeom prst="rect">
                          <a:avLst/>
                        </a:prstGeom>
                        <a:solidFill>
                          <a:srgbClr val="FFFFFF"/>
                        </a:solidFill>
                        <a:ln w="9525">
                          <a:solidFill>
                            <a:schemeClr val="bg1"/>
                          </a:solidFill>
                          <a:miter lim="800000"/>
                          <a:headEnd/>
                          <a:tailEnd/>
                        </a:ln>
                      </wps:spPr>
                      <wps:txbx>
                        <w:txbxContent>
                          <w:p w14:paraId="20E3A37F" w14:textId="0C67313E" w:rsidR="00E50967" w:rsidRDefault="00E50967" w:rsidP="000161FE">
                            <w:pPr>
                              <w:jc w:val="right"/>
                            </w:pPr>
                            <w:r>
                              <w:rPr>
                                <w:rFonts w:ascii="Times New Roman" w:hAnsi="Times New Roman" w:cs="Times New Roman"/>
                                <w:noProof/>
                              </w:rPr>
                              <w:drawing>
                                <wp:inline distT="0" distB="0" distL="0" distR="0" wp14:anchorId="585C7DB8" wp14:editId="508B2FA0">
                                  <wp:extent cx="1678363" cy="798391"/>
                                  <wp:effectExtent l="0" t="0" r="0" b="0"/>
                                  <wp:docPr id="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785" cy="8285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A793A0" id="_x0000_t202" coordsize="21600,21600" o:spt="202" path="m,l,21600r21600,l21600,xe">
                <v:stroke joinstyle="miter"/>
                <v:path gradientshapeok="t" o:connecttype="rect"/>
              </v:shapetype>
              <v:shape id="Text Box 2" o:spid="_x0000_s1026" type="#_x0000_t202" style="position:absolute;left:0;text-align:left;margin-left:324.1pt;margin-top:0;width:185.4pt;height:158.35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AyFgIAAB8EAAAOAAAAZHJzL2Uyb0RvYy54bWysk99v2yAQx98n7X9AvC92smRrrDhVly7T&#10;pO6H1O0PwBjbaMAxILGzv74HdtO0e5vmB8T54Ht3nzs214NW5Cicl2BKOp/llAjDoZamLenPH/s3&#10;V5T4wEzNFBhR0pPw9Hr7+tWmt4VYQAeqFo6giPFFb0vahWCLLPO8E5r5GVhh0NmA0yyg6dqsdqxH&#10;da2yRZ6/y3pwtXXAhff493Z00m3SbxrBw7em8SIQVVLMLaTVpbWKa7bdsKJ1zHaST2mwf8hCM2kw&#10;6FnqlgVGDk7+JaUld+ChCTMOOoOmkVykGrCaef6imvuOWZFqQTjenjH5/yfLvx7v7XdHwvABBmxg&#10;KsLbO+C/PDGw65hpxY1z0HeC1Rh4HpFlvfXFdDWi9oWPIlX/BWpsMjsESEJD43SkgnUSVMcGnM7Q&#10;xRAIx5+Lt6vl6v2aEo4+hDDPl8sUgxWP163z4ZMATeKmpA67muTZ8c6HmA4rHo/EaB6UrPdSqWS4&#10;ttopR44MJ2Cfvkn92TFlSF/S9WqxGgk8k4jDKM4iVTsyeBFIy4CTrKQu6VUev3G2IraPpk5zFphU&#10;4x4zVmbiGNGNEMNQDXgw8qygPiFRB+PE4gvDTQfuDyU9TmtJ/e8Dc4IS9dlgV9bz5TKOdzIQ5wIN&#10;d+mpLj3McJQqaaBk3O5CehKJl73B7u1l4vqUyZQrTmHCPb2YOOaXdjr19K63DwAAAP//AwBQSwME&#10;FAAGAAgAAAAhAP2jFgjdAAAACQEAAA8AAABkcnMvZG93bnJldi54bWxMj8FOwzAQRO9I/IO1SFxQ&#10;66SgpIQ4FUIqN4QoqOdtvMRRYzuy3TT8PdsT3HY0o9k39Wa2g5goxN47BfkyA0Gu9bp3nYKvz+1i&#10;DSImdBoH70jBD0XYNNdXNVban90HTbvUCS5xsUIFJqWxkjK2hizGpR/Jsfftg8XEMnRSBzxzuR3k&#10;KssKabF3/MHgSC+G2uPuZBXQccrRb1/fzN17H/RgStvtS6Vub+bnJxCJ5vQXhgs+o0PDTAd/cjqK&#10;QUHxsF5xVAEvuthZ/sjXQcF9XpQgm1r+X9D8AgAA//8DAFBLAQItABQABgAIAAAAIQC2gziS/gAA&#10;AOEBAAATAAAAAAAAAAAAAAAAAAAAAABbQ29udGVudF9UeXBlc10ueG1sUEsBAi0AFAAGAAgAAAAh&#10;ADj9If/WAAAAlAEAAAsAAAAAAAAAAAAAAAAALwEAAF9yZWxzLy5yZWxzUEsBAi0AFAAGAAgAAAAh&#10;AFgXkDIWAgAAHwQAAA4AAAAAAAAAAAAAAAAALgIAAGRycy9lMm9Eb2MueG1sUEsBAi0AFAAGAAgA&#10;AAAhAP2jFgjdAAAACQEAAA8AAAAAAAAAAAAAAAAAcAQAAGRycy9kb3ducmV2LnhtbFBLBQYAAAAA&#10;BAAEAPMAAAB6BQAAAAA=&#10;" strokecolor="white [3212]">
                <v:textbox style="mso-fit-shape-to-text:t">
                  <w:txbxContent>
                    <w:p w14:paraId="20E3A37F" w14:textId="0C67313E" w:rsidR="00E50967" w:rsidRDefault="00E50967" w:rsidP="000161FE">
                      <w:pPr>
                        <w:jc w:val="right"/>
                      </w:pPr>
                      <w:r>
                        <w:rPr>
                          <w:rFonts w:ascii="Times New Roman" w:hAnsi="Times New Roman" w:cs="Times New Roman"/>
                          <w:noProof/>
                        </w:rPr>
                        <w:drawing>
                          <wp:inline distT="0" distB="0" distL="0" distR="0" wp14:anchorId="585C7DB8" wp14:editId="508B2FA0">
                            <wp:extent cx="1678363" cy="798391"/>
                            <wp:effectExtent l="0" t="0" r="0" b="0"/>
                            <wp:docPr id="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785" cy="828560"/>
                                    </a:xfrm>
                                    <a:prstGeom prst="rect">
                                      <a:avLst/>
                                    </a:prstGeom>
                                    <a:noFill/>
                                    <a:ln>
                                      <a:noFill/>
                                    </a:ln>
                                  </pic:spPr>
                                </pic:pic>
                              </a:graphicData>
                            </a:graphic>
                          </wp:inline>
                        </w:drawing>
                      </w:r>
                    </w:p>
                  </w:txbxContent>
                </v:textbox>
                <w10:wrap type="square"/>
              </v:shape>
            </w:pict>
          </mc:Fallback>
        </mc:AlternateContent>
      </w:r>
    </w:p>
    <w:p w14:paraId="58589267" w14:textId="77777777" w:rsidR="000F2779" w:rsidRDefault="000F2779" w:rsidP="0047396E">
      <w:pPr>
        <w:pStyle w:val="BodyText"/>
        <w:kinsoku w:val="0"/>
        <w:overflowPunct w:val="0"/>
        <w:spacing w:before="48" w:line="280" w:lineRule="auto"/>
        <w:ind w:left="3742" w:right="-1" w:hanging="3742"/>
        <w:jc w:val="center"/>
        <w:rPr>
          <w:b/>
          <w:bCs/>
          <w:color w:val="5F4879"/>
          <w:sz w:val="40"/>
          <w:szCs w:val="40"/>
        </w:rPr>
      </w:pPr>
    </w:p>
    <w:p w14:paraId="5B0E4887" w14:textId="77777777" w:rsidR="000F2779" w:rsidRDefault="000F2779" w:rsidP="0047396E">
      <w:pPr>
        <w:pStyle w:val="BodyText"/>
        <w:kinsoku w:val="0"/>
        <w:overflowPunct w:val="0"/>
        <w:spacing w:before="48" w:line="280" w:lineRule="auto"/>
        <w:ind w:left="3742" w:right="-1" w:hanging="3742"/>
        <w:jc w:val="center"/>
        <w:rPr>
          <w:b/>
          <w:bCs/>
          <w:color w:val="5F4879"/>
          <w:sz w:val="40"/>
          <w:szCs w:val="40"/>
        </w:rPr>
      </w:pPr>
    </w:p>
    <w:p w14:paraId="248BAD9B" w14:textId="77777777" w:rsidR="000F2779" w:rsidRPr="000F2779" w:rsidRDefault="000F2779" w:rsidP="000F2779">
      <w:pPr>
        <w:pStyle w:val="BodyText"/>
        <w:kinsoku w:val="0"/>
        <w:overflowPunct w:val="0"/>
        <w:spacing w:before="48" w:line="280" w:lineRule="auto"/>
        <w:ind w:right="-1" w:hanging="993"/>
        <w:jc w:val="center"/>
        <w:rPr>
          <w:b/>
          <w:bCs/>
          <w:color w:val="5F4879"/>
          <w:sz w:val="6"/>
          <w:szCs w:val="6"/>
        </w:rPr>
      </w:pPr>
    </w:p>
    <w:p w14:paraId="16739410" w14:textId="4E0157A1" w:rsidR="00C26886" w:rsidRDefault="004B72B8" w:rsidP="0047396E">
      <w:pPr>
        <w:pStyle w:val="BodyText"/>
        <w:kinsoku w:val="0"/>
        <w:overflowPunct w:val="0"/>
        <w:spacing w:before="48" w:line="280" w:lineRule="auto"/>
        <w:ind w:left="3742" w:right="-1" w:hanging="3742"/>
        <w:jc w:val="center"/>
        <w:rPr>
          <w:b/>
          <w:bCs/>
          <w:color w:val="5F4879"/>
          <w:sz w:val="40"/>
          <w:szCs w:val="40"/>
        </w:rPr>
      </w:pPr>
      <w:r>
        <w:rPr>
          <w:b/>
          <w:bCs/>
          <w:color w:val="5F4879"/>
          <w:sz w:val="40"/>
          <w:szCs w:val="40"/>
        </w:rPr>
        <w:t>Work Health and Safety (WHS) Report</w:t>
      </w:r>
    </w:p>
    <w:p w14:paraId="6B03F916" w14:textId="416C3BDD" w:rsidR="004B72B8" w:rsidRDefault="000D603E" w:rsidP="00552DD3">
      <w:pPr>
        <w:pStyle w:val="BodyText"/>
        <w:kinsoku w:val="0"/>
        <w:overflowPunct w:val="0"/>
        <w:spacing w:before="48" w:line="280" w:lineRule="auto"/>
        <w:ind w:left="3742" w:right="-1" w:hanging="3742"/>
        <w:jc w:val="center"/>
        <w:rPr>
          <w:b/>
          <w:bCs/>
          <w:color w:val="5F4879"/>
          <w:sz w:val="40"/>
          <w:szCs w:val="40"/>
        </w:rPr>
      </w:pPr>
      <w:r>
        <w:rPr>
          <w:b/>
          <w:bCs/>
          <w:color w:val="5F4879"/>
          <w:sz w:val="40"/>
          <w:szCs w:val="40"/>
        </w:rPr>
        <w:t xml:space="preserve">Quarter </w:t>
      </w:r>
      <w:r w:rsidR="001017C3">
        <w:rPr>
          <w:b/>
          <w:bCs/>
          <w:color w:val="5F4879"/>
          <w:sz w:val="40"/>
          <w:szCs w:val="40"/>
        </w:rPr>
        <w:t>4</w:t>
      </w:r>
      <w:r>
        <w:rPr>
          <w:b/>
          <w:bCs/>
          <w:color w:val="5F4879"/>
          <w:sz w:val="40"/>
          <w:szCs w:val="40"/>
        </w:rPr>
        <w:t xml:space="preserve"> 2023</w:t>
      </w:r>
    </w:p>
    <w:p w14:paraId="0AB433E6" w14:textId="3F5B4D56" w:rsidR="00550FC1" w:rsidRDefault="004B72B8" w:rsidP="00CD61CA">
      <w:pPr>
        <w:pStyle w:val="BodyText"/>
        <w:tabs>
          <w:tab w:val="left" w:pos="7797"/>
        </w:tabs>
        <w:kinsoku w:val="0"/>
        <w:overflowPunct w:val="0"/>
        <w:spacing w:before="141"/>
        <w:ind w:right="-306"/>
      </w:pPr>
      <w:r>
        <w:t>This report provides an overview of</w:t>
      </w:r>
      <w:r w:rsidR="00DB2EC3">
        <w:t xml:space="preserve"> WHS </w:t>
      </w:r>
      <w:r w:rsidR="00550FC1">
        <w:t xml:space="preserve">performance and initiatives across ACU during </w:t>
      </w:r>
      <w:r w:rsidR="00D6294C">
        <w:t>Quarter</w:t>
      </w:r>
      <w:r w:rsidR="000D603E">
        <w:t xml:space="preserve"> </w:t>
      </w:r>
      <w:r w:rsidR="00272F10">
        <w:t xml:space="preserve">4 </w:t>
      </w:r>
      <w:r w:rsidR="00550FC1">
        <w:t>2023.</w:t>
      </w:r>
    </w:p>
    <w:p w14:paraId="7C731A85" w14:textId="77777777" w:rsidR="00550FC1" w:rsidRDefault="00550FC1" w:rsidP="00CD61CA">
      <w:pPr>
        <w:pStyle w:val="BodyText"/>
        <w:tabs>
          <w:tab w:val="left" w:pos="7797"/>
        </w:tabs>
        <w:kinsoku w:val="0"/>
        <w:overflowPunct w:val="0"/>
        <w:spacing w:before="141"/>
        <w:ind w:right="-306"/>
      </w:pPr>
    </w:p>
    <w:p w14:paraId="7C21A06F" w14:textId="79733C2A" w:rsidR="00F32C9E" w:rsidRDefault="00F32C9E" w:rsidP="00F20255">
      <w:pPr>
        <w:pStyle w:val="Heading1"/>
        <w:numPr>
          <w:ilvl w:val="0"/>
          <w:numId w:val="1"/>
        </w:numPr>
        <w:ind w:hanging="466"/>
      </w:pPr>
      <w:r>
        <w:t>Executive Dashboard</w:t>
      </w:r>
    </w:p>
    <w:p w14:paraId="2AEB2037" w14:textId="005A1895" w:rsidR="00F32C9E" w:rsidRPr="000739D3" w:rsidRDefault="00F32C9E" w:rsidP="00CD61CA">
      <w:pPr>
        <w:pStyle w:val="BodyText"/>
        <w:kinsoku w:val="0"/>
        <w:overflowPunct w:val="0"/>
        <w:spacing w:before="6"/>
      </w:pPr>
    </w:p>
    <w:p w14:paraId="40AE5FBD" w14:textId="704159DC" w:rsidR="00047F11" w:rsidRDefault="00047F11" w:rsidP="00047F11">
      <w:pPr>
        <w:pStyle w:val="BodyText"/>
        <w:kinsoku w:val="0"/>
        <w:overflowPunct w:val="0"/>
      </w:pPr>
      <w:r>
        <w:t>Table 1 below provides key WHS indicators for Q</w:t>
      </w:r>
      <w:r w:rsidR="00027AA4">
        <w:t>4</w:t>
      </w:r>
      <w:r>
        <w:t xml:space="preserve"> 2023 (</w:t>
      </w:r>
      <w:r w:rsidR="00027AA4">
        <w:t>October - December</w:t>
      </w:r>
      <w:r>
        <w:t xml:space="preserve">). These are aligned with good practice inside and outside the University sector and provide improved </w:t>
      </w:r>
      <w:r w:rsidRPr="000739D3">
        <w:t xml:space="preserve">visibility as to </w:t>
      </w:r>
      <w:r>
        <w:t xml:space="preserve">WHS </w:t>
      </w:r>
      <w:r w:rsidRPr="000739D3">
        <w:t xml:space="preserve">performance across both </w:t>
      </w:r>
      <w:r>
        <w:t xml:space="preserve">ACU </w:t>
      </w:r>
      <w:r w:rsidRPr="000739D3">
        <w:t>overall</w:t>
      </w:r>
      <w:r>
        <w:t xml:space="preserve"> and at the P</w:t>
      </w:r>
      <w:r w:rsidRPr="000739D3">
        <w:t>ortfolio level</w:t>
      </w:r>
      <w:r>
        <w:t xml:space="preserve"> (where such data currently exists).  To ensure that WHS data is contemporary and to allow the University and Portfolios to </w:t>
      </w:r>
      <w:proofErr w:type="gramStart"/>
      <w:r>
        <w:t>take action</w:t>
      </w:r>
      <w:proofErr w:type="gramEnd"/>
      <w:r>
        <w:t xml:space="preserve"> to “course-correct” as required to address WHS performance issues, WHS reports are now provided on a monthly basis, supplemented by quarterly reports (this report) and annual summary reports.</w:t>
      </w:r>
    </w:p>
    <w:p w14:paraId="73D21C2B" w14:textId="77777777" w:rsidR="00F33A9E" w:rsidRDefault="00F33A9E" w:rsidP="00BE4832">
      <w:pPr>
        <w:pStyle w:val="BodyText"/>
        <w:kinsoku w:val="0"/>
        <w:overflowPunct w:val="0"/>
      </w:pPr>
    </w:p>
    <w:p w14:paraId="189DA412" w14:textId="77777777" w:rsidR="00637CE3" w:rsidRDefault="00637CE3" w:rsidP="00BE4832">
      <w:pPr>
        <w:pStyle w:val="BodyText"/>
        <w:kinsoku w:val="0"/>
        <w:overflowPunct w:val="0"/>
      </w:pPr>
    </w:p>
    <w:p w14:paraId="2AD997D6" w14:textId="626B8F8D" w:rsidR="00676B73" w:rsidRDefault="00676B73" w:rsidP="00F20255">
      <w:pPr>
        <w:pStyle w:val="Heading1"/>
        <w:numPr>
          <w:ilvl w:val="0"/>
          <w:numId w:val="1"/>
        </w:numPr>
        <w:ind w:hanging="466"/>
      </w:pPr>
      <w:r>
        <w:t xml:space="preserve">WHS </w:t>
      </w:r>
      <w:r w:rsidR="00240DF6">
        <w:t>P</w:t>
      </w:r>
      <w:r>
        <w:t>erformance</w:t>
      </w:r>
    </w:p>
    <w:p w14:paraId="16A5F866" w14:textId="77777777" w:rsidR="00676B73" w:rsidRDefault="00676B73" w:rsidP="00676B73">
      <w:pPr>
        <w:pStyle w:val="BodyText"/>
        <w:kinsoku w:val="0"/>
        <w:overflowPunct w:val="0"/>
      </w:pPr>
    </w:p>
    <w:p w14:paraId="710C276A" w14:textId="15E6774D" w:rsidR="00676B73" w:rsidRPr="00676B73" w:rsidRDefault="007B6578" w:rsidP="00641D2C">
      <w:pPr>
        <w:pStyle w:val="BodyText"/>
        <w:tabs>
          <w:tab w:val="left" w:pos="426"/>
        </w:tabs>
        <w:kinsoku w:val="0"/>
        <w:overflowPunct w:val="0"/>
        <w:rPr>
          <w:b/>
          <w:bCs/>
        </w:rPr>
      </w:pPr>
      <w:r>
        <w:rPr>
          <w:b/>
          <w:bCs/>
        </w:rPr>
        <w:t xml:space="preserve">2.1 </w:t>
      </w:r>
      <w:r w:rsidR="00637CE3">
        <w:rPr>
          <w:b/>
          <w:bCs/>
        </w:rPr>
        <w:tab/>
      </w:r>
      <w:r w:rsidR="00676B73" w:rsidRPr="00676B73">
        <w:rPr>
          <w:b/>
          <w:bCs/>
        </w:rPr>
        <w:t>Notifiable Incidents</w:t>
      </w:r>
    </w:p>
    <w:p w14:paraId="2033E42D" w14:textId="77777777" w:rsidR="00676B73" w:rsidRPr="00637CE3" w:rsidRDefault="00676B73" w:rsidP="00641D2C">
      <w:pPr>
        <w:pStyle w:val="BodyText"/>
        <w:kinsoku w:val="0"/>
        <w:overflowPunct w:val="0"/>
      </w:pPr>
    </w:p>
    <w:p w14:paraId="1CCC9885" w14:textId="21D8C223" w:rsidR="002C3301" w:rsidRDefault="002C3301" w:rsidP="00641D2C">
      <w:pPr>
        <w:pStyle w:val="BodyText"/>
        <w:kinsoku w:val="0"/>
        <w:overflowPunct w:val="0"/>
      </w:pPr>
      <w:r w:rsidRPr="006B008A">
        <w:t xml:space="preserve">There was one </w:t>
      </w:r>
      <w:r>
        <w:t>n</w:t>
      </w:r>
      <w:r w:rsidRPr="006B008A">
        <w:t>otifiable incident reported to relevant WHS (OHS) regulators during Quarter 4 2023</w:t>
      </w:r>
      <w:r>
        <w:t>, concerning an employee in NSW losing consciousness after being struck on the head by a falling object.</w:t>
      </w:r>
      <w:r w:rsidR="00D031E9">
        <w:t xml:space="preserve"> Employee </w:t>
      </w:r>
      <w:r w:rsidR="008F798D">
        <w:t xml:space="preserve">has returned to work on a </w:t>
      </w:r>
      <w:r w:rsidR="00BE27B6">
        <w:t>graduated return to work plan</w:t>
      </w:r>
      <w:r w:rsidR="008F798D">
        <w:t xml:space="preserve"> whilst they recover from the injury. Corrective actions have been </w:t>
      </w:r>
      <w:r w:rsidR="00C16058">
        <w:t xml:space="preserve">implemented to avoid a recurrence. </w:t>
      </w:r>
    </w:p>
    <w:p w14:paraId="526EEE2E" w14:textId="77777777" w:rsidR="00676B73" w:rsidRDefault="00676B73" w:rsidP="00641D2C">
      <w:pPr>
        <w:pStyle w:val="BodyText"/>
        <w:kinsoku w:val="0"/>
        <w:overflowPunct w:val="0"/>
      </w:pPr>
    </w:p>
    <w:p w14:paraId="04B435D4" w14:textId="0E5642D4" w:rsidR="00676B73" w:rsidRDefault="007B6578" w:rsidP="00641D2C">
      <w:pPr>
        <w:pStyle w:val="BodyText"/>
        <w:tabs>
          <w:tab w:val="left" w:pos="426"/>
        </w:tabs>
        <w:kinsoku w:val="0"/>
        <w:overflowPunct w:val="0"/>
        <w:rPr>
          <w:b/>
          <w:bCs/>
        </w:rPr>
      </w:pPr>
      <w:r>
        <w:rPr>
          <w:b/>
          <w:bCs/>
        </w:rPr>
        <w:t xml:space="preserve">2.2 </w:t>
      </w:r>
      <w:r w:rsidR="00637CE3">
        <w:rPr>
          <w:b/>
          <w:bCs/>
        </w:rPr>
        <w:tab/>
      </w:r>
      <w:r w:rsidR="00676B73" w:rsidRPr="00676B73">
        <w:rPr>
          <w:b/>
          <w:bCs/>
        </w:rPr>
        <w:t xml:space="preserve">Riskware Incidents </w:t>
      </w:r>
    </w:p>
    <w:p w14:paraId="4F496ADD" w14:textId="77777777" w:rsidR="007218E3" w:rsidRPr="00637CE3" w:rsidRDefault="007218E3" w:rsidP="00641D2C">
      <w:pPr>
        <w:pStyle w:val="BodyText"/>
        <w:kinsoku w:val="0"/>
        <w:overflowPunct w:val="0"/>
        <w:rPr>
          <w:b/>
          <w:bCs/>
        </w:rPr>
      </w:pPr>
    </w:p>
    <w:p w14:paraId="1081B4B3" w14:textId="238F3DA6" w:rsidR="00676B73" w:rsidRDefault="00676B73" w:rsidP="00641D2C">
      <w:pPr>
        <w:pStyle w:val="BodyText"/>
        <w:kinsoku w:val="0"/>
        <w:overflowPunct w:val="0"/>
      </w:pPr>
      <w:r>
        <w:t xml:space="preserve">Riskware </w:t>
      </w:r>
      <w:r w:rsidR="008E393E">
        <w:t xml:space="preserve">is the online incident and hazard reporting system used by ACU for reporting safety related matters. </w:t>
      </w:r>
      <w:r>
        <w:t xml:space="preserve">Student reports accounted for </w:t>
      </w:r>
      <w:r w:rsidR="007218E3">
        <w:t>3</w:t>
      </w:r>
      <w:r w:rsidR="002C3301">
        <w:t>8</w:t>
      </w:r>
      <w:r w:rsidR="002E380E">
        <w:t xml:space="preserve"> of </w:t>
      </w:r>
      <w:r w:rsidR="002C3301">
        <w:t>55</w:t>
      </w:r>
      <w:r w:rsidRPr="002E380E">
        <w:t xml:space="preserve"> (6</w:t>
      </w:r>
      <w:r w:rsidR="002C3301">
        <w:t>9</w:t>
      </w:r>
      <w:r w:rsidRPr="002E380E">
        <w:t>%)</w:t>
      </w:r>
      <w:r>
        <w:t xml:space="preserve"> riskware incidents that were logged </w:t>
      </w:r>
      <w:r w:rsidR="007218E3">
        <w:t>in Q</w:t>
      </w:r>
      <w:r w:rsidR="00637CE3">
        <w:t xml:space="preserve">uarter </w:t>
      </w:r>
      <w:r w:rsidR="00027AA4">
        <w:t>4</w:t>
      </w:r>
      <w:r w:rsidR="007218E3">
        <w:t>.</w:t>
      </w:r>
      <w:r>
        <w:t xml:space="preserve"> Staff members reported </w:t>
      </w:r>
      <w:r w:rsidR="007218E3">
        <w:t>1</w:t>
      </w:r>
      <w:r w:rsidR="002C3301">
        <w:t>2</w:t>
      </w:r>
      <w:r w:rsidR="007218E3">
        <w:t xml:space="preserve"> </w:t>
      </w:r>
      <w:r>
        <w:t>(</w:t>
      </w:r>
      <w:r w:rsidR="007218E3">
        <w:t>2</w:t>
      </w:r>
      <w:r w:rsidR="002C3301">
        <w:t>2</w:t>
      </w:r>
      <w:r>
        <w:t>%) incidents</w:t>
      </w:r>
      <w:r w:rsidR="00047F11">
        <w:t xml:space="preserve">, whilst </w:t>
      </w:r>
      <w:r w:rsidR="002C3301">
        <w:t>5</w:t>
      </w:r>
      <w:r>
        <w:t xml:space="preserve"> visitor reports (</w:t>
      </w:r>
      <w:r w:rsidR="002C3301">
        <w:t>9</w:t>
      </w:r>
      <w:r>
        <w:t xml:space="preserve">%) were logged. </w:t>
      </w:r>
    </w:p>
    <w:p w14:paraId="4A38B8FA" w14:textId="77777777" w:rsidR="008E393E" w:rsidRDefault="008E393E" w:rsidP="00641D2C">
      <w:pPr>
        <w:pStyle w:val="BodyText"/>
        <w:kinsoku w:val="0"/>
        <w:overflowPunct w:val="0"/>
      </w:pPr>
    </w:p>
    <w:p w14:paraId="5AFDF0B9" w14:textId="77777777" w:rsidR="00676B73" w:rsidRDefault="00676B73" w:rsidP="00641D2C">
      <w:pPr>
        <w:pStyle w:val="BodyText"/>
        <w:kinsoku w:val="0"/>
        <w:overflowPunct w:val="0"/>
        <w:rPr>
          <w:b/>
          <w:bCs/>
          <w:i/>
          <w:iCs/>
        </w:rPr>
      </w:pPr>
      <w:r w:rsidRPr="008E393E">
        <w:rPr>
          <w:b/>
          <w:bCs/>
          <w:i/>
          <w:iCs/>
        </w:rPr>
        <w:t xml:space="preserve">Hazard Reports </w:t>
      </w:r>
    </w:p>
    <w:p w14:paraId="458EAAC1" w14:textId="77777777" w:rsidR="00637CE3" w:rsidRPr="008E393E" w:rsidRDefault="00637CE3" w:rsidP="00641D2C">
      <w:pPr>
        <w:pStyle w:val="BodyText"/>
        <w:kinsoku w:val="0"/>
        <w:overflowPunct w:val="0"/>
        <w:rPr>
          <w:b/>
          <w:bCs/>
          <w:i/>
          <w:iCs/>
        </w:rPr>
      </w:pPr>
    </w:p>
    <w:p w14:paraId="79663E15" w14:textId="51F3F1D4" w:rsidR="00676B73" w:rsidRDefault="002C3301" w:rsidP="00641D2C">
      <w:pPr>
        <w:pStyle w:val="BodyText"/>
        <w:numPr>
          <w:ilvl w:val="0"/>
          <w:numId w:val="6"/>
        </w:numPr>
        <w:tabs>
          <w:tab w:val="left" w:pos="1134"/>
        </w:tabs>
        <w:kinsoku w:val="0"/>
        <w:overflowPunct w:val="0"/>
        <w:ind w:left="426" w:hanging="284"/>
      </w:pPr>
      <w:r>
        <w:t>3</w:t>
      </w:r>
      <w:r w:rsidR="00676B73">
        <w:t xml:space="preserve"> hazards were logged during </w:t>
      </w:r>
      <w:r w:rsidR="007218E3">
        <w:t>Q</w:t>
      </w:r>
      <w:r w:rsidR="00641D2C">
        <w:t>uarter 4</w:t>
      </w:r>
      <w:r w:rsidR="007218E3">
        <w:t>.</w:t>
      </w:r>
      <w:r w:rsidR="00676B73">
        <w:t xml:space="preserve"> </w:t>
      </w:r>
    </w:p>
    <w:p w14:paraId="626898F3" w14:textId="50033BE4" w:rsidR="00676B73" w:rsidRDefault="002C3301" w:rsidP="00641D2C">
      <w:pPr>
        <w:pStyle w:val="BodyText"/>
        <w:numPr>
          <w:ilvl w:val="0"/>
          <w:numId w:val="6"/>
        </w:numPr>
        <w:tabs>
          <w:tab w:val="left" w:pos="1134"/>
        </w:tabs>
        <w:kinsoku w:val="0"/>
        <w:overflowPunct w:val="0"/>
        <w:ind w:left="426" w:hanging="284"/>
      </w:pPr>
      <w:r>
        <w:t>All 3 h</w:t>
      </w:r>
      <w:r w:rsidR="007218E3">
        <w:t>azards have been actioned and closed by P&amp;F</w:t>
      </w:r>
      <w:r w:rsidR="00047F11">
        <w:t xml:space="preserve"> as at the date of this report</w:t>
      </w:r>
      <w:r w:rsidR="007218E3">
        <w:t>.</w:t>
      </w:r>
    </w:p>
    <w:p w14:paraId="2AEEDB38" w14:textId="77777777" w:rsidR="007218E3" w:rsidRDefault="007218E3" w:rsidP="00641D2C">
      <w:pPr>
        <w:pStyle w:val="BodyText"/>
        <w:kinsoku w:val="0"/>
        <w:overflowPunct w:val="0"/>
        <w:ind w:left="1440"/>
      </w:pPr>
    </w:p>
    <w:p w14:paraId="1FB1647C" w14:textId="23423249" w:rsidR="007218E3" w:rsidRDefault="00676B73" w:rsidP="00641D2C">
      <w:pPr>
        <w:pStyle w:val="BodyText"/>
        <w:kinsoku w:val="0"/>
        <w:overflowPunct w:val="0"/>
        <w:rPr>
          <w:b/>
          <w:bCs/>
          <w:i/>
          <w:iCs/>
        </w:rPr>
      </w:pPr>
      <w:r w:rsidRPr="008E393E">
        <w:rPr>
          <w:b/>
          <w:bCs/>
          <w:i/>
          <w:iCs/>
        </w:rPr>
        <w:t xml:space="preserve">Staff Lost Time Injuries </w:t>
      </w:r>
    </w:p>
    <w:p w14:paraId="72F92F1F" w14:textId="77777777" w:rsidR="00637CE3" w:rsidRPr="008E393E" w:rsidRDefault="00637CE3" w:rsidP="00641D2C">
      <w:pPr>
        <w:pStyle w:val="BodyText"/>
        <w:kinsoku w:val="0"/>
        <w:overflowPunct w:val="0"/>
        <w:rPr>
          <w:b/>
          <w:bCs/>
          <w:i/>
          <w:iCs/>
        </w:rPr>
      </w:pPr>
    </w:p>
    <w:p w14:paraId="68CE4F16" w14:textId="16E9BD88" w:rsidR="00676B73" w:rsidRDefault="007218E3" w:rsidP="00641D2C">
      <w:pPr>
        <w:pStyle w:val="BodyText"/>
        <w:numPr>
          <w:ilvl w:val="1"/>
          <w:numId w:val="2"/>
        </w:numPr>
        <w:kinsoku w:val="0"/>
        <w:overflowPunct w:val="0"/>
        <w:ind w:left="426" w:hanging="284"/>
      </w:pPr>
      <w:r>
        <w:t xml:space="preserve">In Quarter </w:t>
      </w:r>
      <w:r w:rsidR="002C3301">
        <w:t>4</w:t>
      </w:r>
      <w:r>
        <w:t xml:space="preserve">, </w:t>
      </w:r>
      <w:r w:rsidR="002C3301">
        <w:t>two</w:t>
      </w:r>
      <w:r>
        <w:t xml:space="preserve"> staff members </w:t>
      </w:r>
      <w:r w:rsidR="002C3301">
        <w:t>sustained injuries / illnesses resulting in time lost from wor</w:t>
      </w:r>
      <w:r w:rsidR="00A3270C">
        <w:t>k.</w:t>
      </w:r>
    </w:p>
    <w:p w14:paraId="4DBCEBA3" w14:textId="77777777" w:rsidR="00676B73" w:rsidRDefault="00676B73" w:rsidP="00641D2C">
      <w:pPr>
        <w:pStyle w:val="BodyText"/>
        <w:kinsoku w:val="0"/>
        <w:overflowPunct w:val="0"/>
      </w:pPr>
    </w:p>
    <w:p w14:paraId="32C2C683" w14:textId="336E3680" w:rsidR="007218E3" w:rsidRDefault="00676B73" w:rsidP="00641D2C">
      <w:pPr>
        <w:pStyle w:val="BodyText"/>
        <w:kinsoku w:val="0"/>
        <w:overflowPunct w:val="0"/>
      </w:pPr>
      <w:r w:rsidRPr="008E393E">
        <w:rPr>
          <w:b/>
          <w:bCs/>
        </w:rPr>
        <w:t>Mechanism</w:t>
      </w:r>
      <w:r w:rsidR="008E393E" w:rsidRPr="008E393E">
        <w:rPr>
          <w:b/>
          <w:bCs/>
        </w:rPr>
        <w:t>s</w:t>
      </w:r>
      <w:r w:rsidRPr="008E393E">
        <w:rPr>
          <w:b/>
          <w:bCs/>
        </w:rPr>
        <w:t xml:space="preserve"> of Injury </w:t>
      </w:r>
      <w:r w:rsidR="008E393E">
        <w:t xml:space="preserve">(Staff and Students) </w:t>
      </w:r>
    </w:p>
    <w:p w14:paraId="737A2850" w14:textId="77777777" w:rsidR="00637CE3" w:rsidRDefault="00637CE3" w:rsidP="00641D2C">
      <w:pPr>
        <w:pStyle w:val="BodyText"/>
        <w:kinsoku w:val="0"/>
        <w:overflowPunct w:val="0"/>
      </w:pPr>
    </w:p>
    <w:p w14:paraId="40749BF2" w14:textId="435CE669" w:rsidR="00641D2C" w:rsidRDefault="00676B73" w:rsidP="00641D2C">
      <w:pPr>
        <w:pStyle w:val="BodyText"/>
        <w:numPr>
          <w:ilvl w:val="1"/>
          <w:numId w:val="2"/>
        </w:numPr>
        <w:kinsoku w:val="0"/>
        <w:overflowPunct w:val="0"/>
        <w:ind w:left="426" w:hanging="284"/>
      </w:pPr>
      <w:r>
        <w:t xml:space="preserve">The top three mechanisms of injury that occurred </w:t>
      </w:r>
      <w:r w:rsidR="008E393E">
        <w:t>during the period were:</w:t>
      </w:r>
    </w:p>
    <w:p w14:paraId="09D32671" w14:textId="39681B76" w:rsidR="008E393E" w:rsidRDefault="001A581E" w:rsidP="00641D2C">
      <w:pPr>
        <w:pStyle w:val="BodyText"/>
        <w:numPr>
          <w:ilvl w:val="2"/>
          <w:numId w:val="7"/>
        </w:numPr>
        <w:kinsoku w:val="0"/>
        <w:overflowPunct w:val="0"/>
        <w:ind w:left="851" w:hanging="284"/>
      </w:pPr>
      <w:r>
        <w:t>I</w:t>
      </w:r>
      <w:r w:rsidR="00676B73">
        <w:t>llness (excl</w:t>
      </w:r>
      <w:r w:rsidR="001807C9">
        <w:t>uding</w:t>
      </w:r>
      <w:r w:rsidR="00676B73">
        <w:t xml:space="preserve"> psychological) incl</w:t>
      </w:r>
      <w:r w:rsidR="001807C9">
        <w:t>uding</w:t>
      </w:r>
      <w:r w:rsidR="00676B73">
        <w:t xml:space="preserve"> fainting, </w:t>
      </w:r>
      <w:r w:rsidR="004E0263">
        <w:t xml:space="preserve">chest </w:t>
      </w:r>
      <w:r w:rsidR="00676B73">
        <w:t>pain</w:t>
      </w:r>
      <w:r w:rsidR="004E0263">
        <w:t>,</w:t>
      </w:r>
      <w:r w:rsidR="00676B73">
        <w:t xml:space="preserve"> heart palpitations</w:t>
      </w:r>
      <w:r w:rsidR="004E0263">
        <w:t xml:space="preserve"> (students)</w:t>
      </w:r>
      <w:r w:rsidR="008E393E">
        <w:t>,</w:t>
      </w:r>
    </w:p>
    <w:p w14:paraId="7676B7B6" w14:textId="6E174334" w:rsidR="00676B73" w:rsidRDefault="004E0263" w:rsidP="00641D2C">
      <w:pPr>
        <w:pStyle w:val="BodyText"/>
        <w:numPr>
          <w:ilvl w:val="2"/>
          <w:numId w:val="7"/>
        </w:numPr>
        <w:kinsoku w:val="0"/>
        <w:overflowPunct w:val="0"/>
        <w:ind w:left="851" w:hanging="284"/>
      </w:pPr>
      <w:r>
        <w:t>F</w:t>
      </w:r>
      <w:r w:rsidR="00676B73">
        <w:t>alls on the same level including slips / trips</w:t>
      </w:r>
      <w:r w:rsidR="00272F10">
        <w:t>, and</w:t>
      </w:r>
    </w:p>
    <w:p w14:paraId="6CAD58DC" w14:textId="1CA6746B" w:rsidR="002C3301" w:rsidRDefault="002C3301" w:rsidP="00641D2C">
      <w:pPr>
        <w:pStyle w:val="BodyText"/>
        <w:numPr>
          <w:ilvl w:val="2"/>
          <w:numId w:val="7"/>
        </w:numPr>
        <w:kinsoku w:val="0"/>
        <w:overflowPunct w:val="0"/>
        <w:ind w:left="851" w:hanging="284"/>
      </w:pPr>
      <w:r>
        <w:t>Sharps / Needlesticks</w:t>
      </w:r>
    </w:p>
    <w:p w14:paraId="4372ABD1" w14:textId="77777777" w:rsidR="00676B73" w:rsidRDefault="00676B73" w:rsidP="00641D2C">
      <w:pPr>
        <w:pStyle w:val="BodyText"/>
        <w:kinsoku w:val="0"/>
        <w:overflowPunct w:val="0"/>
      </w:pPr>
    </w:p>
    <w:p w14:paraId="644C1075" w14:textId="042BA6CE" w:rsidR="007218E3" w:rsidRDefault="00240DF6" w:rsidP="00641D2C">
      <w:pPr>
        <w:pStyle w:val="BodyText"/>
        <w:kinsoku w:val="0"/>
        <w:overflowPunct w:val="0"/>
        <w:rPr>
          <w:b/>
          <w:bCs/>
          <w:i/>
          <w:iCs/>
        </w:rPr>
      </w:pPr>
      <w:r w:rsidRPr="00240DF6">
        <w:rPr>
          <w:b/>
          <w:bCs/>
          <w:i/>
          <w:iCs/>
        </w:rPr>
        <w:t xml:space="preserve">Open Incidents </w:t>
      </w:r>
    </w:p>
    <w:p w14:paraId="594A48F9" w14:textId="77777777" w:rsidR="00637CE3" w:rsidRPr="00240DF6" w:rsidRDefault="00637CE3" w:rsidP="00641D2C">
      <w:pPr>
        <w:pStyle w:val="BodyText"/>
        <w:kinsoku w:val="0"/>
        <w:overflowPunct w:val="0"/>
        <w:rPr>
          <w:b/>
          <w:bCs/>
          <w:i/>
          <w:iCs/>
        </w:rPr>
      </w:pPr>
    </w:p>
    <w:p w14:paraId="65D0B4D3" w14:textId="0D7A0CBE" w:rsidR="00240DF6" w:rsidRDefault="00240DF6" w:rsidP="00641D2C">
      <w:pPr>
        <w:pStyle w:val="BodyText"/>
        <w:numPr>
          <w:ilvl w:val="1"/>
          <w:numId w:val="2"/>
        </w:numPr>
        <w:kinsoku w:val="0"/>
        <w:overflowPunct w:val="0"/>
        <w:ind w:left="426" w:hanging="284"/>
      </w:pPr>
      <w:r>
        <w:t xml:space="preserve">Of the </w:t>
      </w:r>
      <w:r w:rsidR="002C3301">
        <w:t>55</w:t>
      </w:r>
      <w:r w:rsidR="007218E3">
        <w:t xml:space="preserve"> </w:t>
      </w:r>
      <w:r w:rsidR="00676B73">
        <w:t>incidents lodged</w:t>
      </w:r>
      <w:r>
        <w:t xml:space="preserve"> during the </w:t>
      </w:r>
      <w:r w:rsidR="002C3301">
        <w:t>quarter</w:t>
      </w:r>
      <w:r>
        <w:t xml:space="preserve">, </w:t>
      </w:r>
      <w:r w:rsidR="00390641">
        <w:t>29</w:t>
      </w:r>
      <w:r w:rsidR="00676B73">
        <w:t xml:space="preserve"> remain open in the system, requiring action in relation to completion or finalisation of the action plan.</w:t>
      </w:r>
      <w:r>
        <w:t xml:space="preserve">  </w:t>
      </w:r>
    </w:p>
    <w:p w14:paraId="75352A67" w14:textId="3C9FF2B2" w:rsidR="00676B73" w:rsidRDefault="00240DF6" w:rsidP="00641D2C">
      <w:pPr>
        <w:pStyle w:val="BodyText"/>
        <w:numPr>
          <w:ilvl w:val="1"/>
          <w:numId w:val="2"/>
        </w:numPr>
        <w:kinsoku w:val="0"/>
        <w:overflowPunct w:val="0"/>
        <w:ind w:left="426" w:hanging="284"/>
      </w:pPr>
      <w:r>
        <w:t xml:space="preserve">Portfolio leads are </w:t>
      </w:r>
      <w:r w:rsidR="00FD4EB6">
        <w:t>expected</w:t>
      </w:r>
      <w:r w:rsidR="00047F11">
        <w:t xml:space="preserve"> </w:t>
      </w:r>
      <w:r>
        <w:t>to raise the completion of actions and closure of riskware incidents with the</w:t>
      </w:r>
      <w:r w:rsidR="004E0263">
        <w:t>ir</w:t>
      </w:r>
      <w:r>
        <w:t xml:space="preserve"> teams to ensure these are addressed in a timely manner.  Detailed reports on open incidents by Portfolios are available from the Safety </w:t>
      </w:r>
      <w:r w:rsidR="007254EC">
        <w:t>and</w:t>
      </w:r>
      <w:r>
        <w:t xml:space="preserve"> Wellbeing Team on request.</w:t>
      </w:r>
    </w:p>
    <w:p w14:paraId="383CD26B" w14:textId="77777777" w:rsidR="00240DF6" w:rsidRDefault="00240DF6" w:rsidP="00641D2C">
      <w:pPr>
        <w:pStyle w:val="BodyText"/>
        <w:kinsoku w:val="0"/>
        <w:overflowPunct w:val="0"/>
        <w:rPr>
          <w:b/>
          <w:bCs/>
        </w:rPr>
      </w:pPr>
    </w:p>
    <w:p w14:paraId="4DCE7A1A" w14:textId="77777777" w:rsidR="00047F11" w:rsidRDefault="00047F11" w:rsidP="00641D2C">
      <w:pPr>
        <w:pStyle w:val="BodyText"/>
        <w:kinsoku w:val="0"/>
        <w:overflowPunct w:val="0"/>
        <w:rPr>
          <w:b/>
          <w:bCs/>
        </w:rPr>
      </w:pPr>
    </w:p>
    <w:p w14:paraId="1662BF16" w14:textId="38CCF960" w:rsidR="00BE4832" w:rsidRPr="008E393E" w:rsidRDefault="00BE4832" w:rsidP="00BE4832">
      <w:pPr>
        <w:pStyle w:val="BodyText"/>
        <w:kinsoku w:val="0"/>
        <w:overflowPunct w:val="0"/>
        <w:rPr>
          <w:b/>
          <w:bCs/>
        </w:rPr>
      </w:pPr>
      <w:r w:rsidRPr="008E393E">
        <w:rPr>
          <w:b/>
          <w:bCs/>
        </w:rPr>
        <w:lastRenderedPageBreak/>
        <w:t>Table 1 – WHS Dashboard for ACU (</w:t>
      </w:r>
      <w:r w:rsidR="003C4D02">
        <w:rPr>
          <w:b/>
          <w:bCs/>
        </w:rPr>
        <w:t>October to December 2023</w:t>
      </w:r>
      <w:r w:rsidRPr="008E393E">
        <w:rPr>
          <w:b/>
          <w:bCs/>
        </w:rPr>
        <w:t>)</w:t>
      </w:r>
    </w:p>
    <w:p w14:paraId="4DEE4943" w14:textId="77777777" w:rsidR="00BE4832" w:rsidRDefault="00BE4832" w:rsidP="00BE4832">
      <w:pPr>
        <w:pStyle w:val="BodyText"/>
        <w:kinsoku w:val="0"/>
        <w:overflowPunct w:val="0"/>
      </w:pPr>
    </w:p>
    <w:tbl>
      <w:tblPr>
        <w:tblW w:w="100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6" w:space="0" w:color="000000" w:themeColor="text1"/>
        </w:tblBorders>
        <w:tblLayout w:type="fixed"/>
        <w:tblLook w:val="04A0" w:firstRow="1" w:lastRow="0" w:firstColumn="1" w:lastColumn="0" w:noHBand="0" w:noVBand="1"/>
      </w:tblPr>
      <w:tblGrid>
        <w:gridCol w:w="1985"/>
        <w:gridCol w:w="1276"/>
        <w:gridCol w:w="1134"/>
        <w:gridCol w:w="1134"/>
        <w:gridCol w:w="1134"/>
        <w:gridCol w:w="1134"/>
        <w:gridCol w:w="1134"/>
        <w:gridCol w:w="1134"/>
      </w:tblGrid>
      <w:tr w:rsidR="00240DF6" w:rsidRPr="0035061A" w14:paraId="2C59A416" w14:textId="77777777" w:rsidTr="005661D8">
        <w:trPr>
          <w:trHeight w:val="562"/>
          <w:tblHeader/>
        </w:trPr>
        <w:tc>
          <w:tcPr>
            <w:tcW w:w="1985" w:type="dxa"/>
            <w:tcBorders>
              <w:bottom w:val="nil"/>
            </w:tcBorders>
            <w:shd w:val="clear" w:color="FFFFFF" w:fill="FF0000"/>
            <w:vAlign w:val="center"/>
            <w:hideMark/>
          </w:tcPr>
          <w:p w14:paraId="10170AC0" w14:textId="38D380DF" w:rsidR="00BE4832" w:rsidRPr="0035061A" w:rsidRDefault="00BE4832" w:rsidP="00F970DA">
            <w:pPr>
              <w:jc w:val="center"/>
              <w:rPr>
                <w:rFonts w:asciiTheme="minorHAnsi" w:hAnsiTheme="minorHAnsi" w:cstheme="minorHAnsi"/>
                <w:b/>
                <w:bCs/>
                <w:color w:val="FFFFFF"/>
                <w:sz w:val="20"/>
                <w:szCs w:val="20"/>
              </w:rPr>
            </w:pPr>
          </w:p>
        </w:tc>
        <w:tc>
          <w:tcPr>
            <w:tcW w:w="1276" w:type="dxa"/>
            <w:shd w:val="clear" w:color="000000" w:fill="FF0000"/>
            <w:tcMar>
              <w:left w:w="0" w:type="dxa"/>
            </w:tcMar>
            <w:hideMark/>
          </w:tcPr>
          <w:p w14:paraId="5F041860" w14:textId="30205112"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C</w:t>
            </w:r>
            <w:r w:rsidR="005661D8" w:rsidRPr="005661D8">
              <w:rPr>
                <w:rFonts w:asciiTheme="minorHAnsi" w:hAnsiTheme="minorHAnsi" w:cstheme="minorHAnsi"/>
                <w:b/>
                <w:bCs/>
                <w:color w:val="FFFFFF"/>
                <w:sz w:val="17"/>
                <w:szCs w:val="17"/>
              </w:rPr>
              <w:t>orporate Services</w:t>
            </w:r>
          </w:p>
        </w:tc>
        <w:tc>
          <w:tcPr>
            <w:tcW w:w="1134" w:type="dxa"/>
            <w:shd w:val="clear" w:color="000000" w:fill="FF0000"/>
            <w:tcMar>
              <w:left w:w="0" w:type="dxa"/>
            </w:tcMar>
            <w:hideMark/>
          </w:tcPr>
          <w:p w14:paraId="3B2816A8" w14:textId="1CF116CC"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 xml:space="preserve">DVC </w:t>
            </w:r>
            <w:r w:rsidR="007C301F" w:rsidRPr="005661D8">
              <w:rPr>
                <w:rFonts w:asciiTheme="minorHAnsi" w:hAnsiTheme="minorHAnsi" w:cstheme="minorHAnsi"/>
                <w:b/>
                <w:bCs/>
                <w:color w:val="FFFFFF"/>
                <w:sz w:val="17"/>
                <w:szCs w:val="17"/>
              </w:rPr>
              <w:t>Ethics</w:t>
            </w:r>
          </w:p>
        </w:tc>
        <w:tc>
          <w:tcPr>
            <w:tcW w:w="1134" w:type="dxa"/>
            <w:shd w:val="clear" w:color="000000" w:fill="FF0000"/>
            <w:tcMar>
              <w:left w:w="0" w:type="dxa"/>
            </w:tcMar>
            <w:hideMark/>
          </w:tcPr>
          <w:p w14:paraId="0BFA0792" w14:textId="5BA3B7C5"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DVC</w:t>
            </w:r>
            <w:r w:rsidR="00115A44" w:rsidRPr="005661D8">
              <w:rPr>
                <w:rFonts w:asciiTheme="minorHAnsi" w:hAnsiTheme="minorHAnsi" w:cstheme="minorHAnsi"/>
                <w:b/>
                <w:bCs/>
                <w:color w:val="FFFFFF"/>
                <w:sz w:val="17"/>
                <w:szCs w:val="17"/>
              </w:rPr>
              <w:t xml:space="preserve"> </w:t>
            </w:r>
            <w:r w:rsidRPr="005661D8">
              <w:rPr>
                <w:rFonts w:asciiTheme="minorHAnsi" w:hAnsiTheme="minorHAnsi" w:cstheme="minorHAnsi"/>
                <w:b/>
                <w:bCs/>
                <w:color w:val="FFFFFF"/>
                <w:sz w:val="17"/>
                <w:szCs w:val="17"/>
              </w:rPr>
              <w:t>R</w:t>
            </w:r>
            <w:r w:rsidR="00115A44" w:rsidRPr="005661D8">
              <w:rPr>
                <w:rFonts w:asciiTheme="minorHAnsi" w:hAnsiTheme="minorHAnsi" w:cstheme="minorHAnsi"/>
                <w:b/>
                <w:bCs/>
                <w:color w:val="FFFFFF"/>
                <w:sz w:val="17"/>
                <w:szCs w:val="17"/>
              </w:rPr>
              <w:t>&amp;</w:t>
            </w:r>
            <w:r w:rsidRPr="005661D8">
              <w:rPr>
                <w:rFonts w:asciiTheme="minorHAnsi" w:hAnsiTheme="minorHAnsi" w:cstheme="minorHAnsi"/>
                <w:b/>
                <w:bCs/>
                <w:color w:val="FFFFFF"/>
                <w:sz w:val="17"/>
                <w:szCs w:val="17"/>
              </w:rPr>
              <w:t>E</w:t>
            </w:r>
          </w:p>
        </w:tc>
        <w:tc>
          <w:tcPr>
            <w:tcW w:w="1134" w:type="dxa"/>
            <w:shd w:val="clear" w:color="000000" w:fill="FF0000"/>
            <w:tcMar>
              <w:left w:w="0" w:type="dxa"/>
            </w:tcMar>
            <w:hideMark/>
          </w:tcPr>
          <w:p w14:paraId="12012C08" w14:textId="77777777"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Provost</w:t>
            </w:r>
          </w:p>
        </w:tc>
        <w:tc>
          <w:tcPr>
            <w:tcW w:w="1134" w:type="dxa"/>
            <w:shd w:val="clear" w:color="000000" w:fill="FF0000"/>
            <w:tcMar>
              <w:left w:w="0" w:type="dxa"/>
            </w:tcMar>
            <w:hideMark/>
          </w:tcPr>
          <w:p w14:paraId="5202E707" w14:textId="0B30869E"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V</w:t>
            </w:r>
            <w:r w:rsidR="007C301F" w:rsidRPr="005661D8">
              <w:rPr>
                <w:rFonts w:asciiTheme="minorHAnsi" w:hAnsiTheme="minorHAnsi" w:cstheme="minorHAnsi"/>
                <w:b/>
                <w:bCs/>
                <w:color w:val="FFFFFF"/>
                <w:sz w:val="17"/>
                <w:szCs w:val="17"/>
              </w:rPr>
              <w:t>ice President</w:t>
            </w:r>
          </w:p>
        </w:tc>
        <w:tc>
          <w:tcPr>
            <w:tcW w:w="1134" w:type="dxa"/>
            <w:shd w:val="clear" w:color="000000" w:fill="FF0000"/>
            <w:tcMar>
              <w:left w:w="0" w:type="dxa"/>
              <w:right w:w="0" w:type="dxa"/>
            </w:tcMar>
            <w:hideMark/>
          </w:tcPr>
          <w:p w14:paraId="5465D341" w14:textId="539605D2"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V</w:t>
            </w:r>
            <w:r w:rsidR="007C301F" w:rsidRPr="005661D8">
              <w:rPr>
                <w:rFonts w:asciiTheme="minorHAnsi" w:hAnsiTheme="minorHAnsi" w:cstheme="minorHAnsi"/>
                <w:b/>
                <w:bCs/>
                <w:color w:val="FFFFFF"/>
                <w:sz w:val="17"/>
                <w:szCs w:val="17"/>
              </w:rPr>
              <w:t>ice</w:t>
            </w:r>
            <w:r w:rsidR="005661D8" w:rsidRPr="005661D8">
              <w:rPr>
                <w:rFonts w:asciiTheme="minorHAnsi" w:hAnsiTheme="minorHAnsi" w:cstheme="minorHAnsi"/>
                <w:b/>
                <w:bCs/>
                <w:color w:val="FFFFFF"/>
                <w:sz w:val="17"/>
                <w:szCs w:val="17"/>
              </w:rPr>
              <w:t>-</w:t>
            </w:r>
            <w:r w:rsidR="007C301F" w:rsidRPr="005661D8">
              <w:rPr>
                <w:rFonts w:asciiTheme="minorHAnsi" w:hAnsiTheme="minorHAnsi" w:cstheme="minorHAnsi"/>
                <w:b/>
                <w:bCs/>
                <w:color w:val="FFFFFF"/>
                <w:sz w:val="17"/>
                <w:szCs w:val="17"/>
              </w:rPr>
              <w:t>Chancellor &amp; President</w:t>
            </w:r>
          </w:p>
        </w:tc>
        <w:tc>
          <w:tcPr>
            <w:tcW w:w="1134" w:type="dxa"/>
            <w:shd w:val="clear" w:color="000000" w:fill="FF0000"/>
            <w:tcMar>
              <w:left w:w="0" w:type="dxa"/>
            </w:tcMar>
            <w:hideMark/>
          </w:tcPr>
          <w:p w14:paraId="61664B0A" w14:textId="311E39FE" w:rsidR="00BE4832" w:rsidRPr="005661D8" w:rsidRDefault="00BE4832" w:rsidP="005661D8">
            <w:pPr>
              <w:spacing w:before="60"/>
              <w:jc w:val="center"/>
              <w:rPr>
                <w:rFonts w:asciiTheme="minorHAnsi" w:hAnsiTheme="minorHAnsi" w:cstheme="minorHAnsi"/>
                <w:b/>
                <w:bCs/>
                <w:color w:val="FFFFFF"/>
                <w:sz w:val="17"/>
                <w:szCs w:val="17"/>
              </w:rPr>
            </w:pPr>
            <w:r w:rsidRPr="005661D8">
              <w:rPr>
                <w:rFonts w:asciiTheme="minorHAnsi" w:hAnsiTheme="minorHAnsi" w:cstheme="minorHAnsi"/>
                <w:b/>
                <w:bCs/>
                <w:color w:val="FFFFFF"/>
                <w:sz w:val="17"/>
                <w:szCs w:val="17"/>
              </w:rPr>
              <w:t>ACU OVERALL</w:t>
            </w:r>
          </w:p>
        </w:tc>
      </w:tr>
      <w:tr w:rsidR="002E380E" w:rsidRPr="0035061A" w14:paraId="17704D52" w14:textId="77777777" w:rsidTr="00115A44">
        <w:trPr>
          <w:trHeight w:val="567"/>
        </w:trPr>
        <w:tc>
          <w:tcPr>
            <w:tcW w:w="1985" w:type="dxa"/>
            <w:tcBorders>
              <w:top w:val="nil"/>
              <w:left w:val="nil"/>
              <w:bottom w:val="nil"/>
              <w:right w:val="nil"/>
            </w:tcBorders>
            <w:shd w:val="clear" w:color="FFFFFF" w:fill="7030A0"/>
            <w:vAlign w:val="center"/>
            <w:hideMark/>
          </w:tcPr>
          <w:p w14:paraId="05F8B796"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Notifiable Incidents</w:t>
            </w:r>
          </w:p>
        </w:tc>
        <w:tc>
          <w:tcPr>
            <w:tcW w:w="1276" w:type="dxa"/>
            <w:tcBorders>
              <w:left w:val="nil"/>
            </w:tcBorders>
            <w:shd w:val="clear" w:color="auto" w:fill="auto"/>
            <w:noWrap/>
            <w:hideMark/>
          </w:tcPr>
          <w:p w14:paraId="31A7B5EF" w14:textId="55E0912E" w:rsidR="00BE4832" w:rsidRPr="0035061A" w:rsidRDefault="002C3301"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hideMark/>
          </w:tcPr>
          <w:p w14:paraId="09FB4D65"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08D4DEAE"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96F7B85" w14:textId="6FEB0218"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74E29400"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3354B96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5459E342" w14:textId="4A7E6840" w:rsidR="00BE4832" w:rsidRPr="0035061A" w:rsidRDefault="002C3301"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r>
      <w:tr w:rsidR="002E380E" w:rsidRPr="0035061A" w14:paraId="4A14D0AA" w14:textId="77777777" w:rsidTr="00115A44">
        <w:trPr>
          <w:trHeight w:val="567"/>
        </w:trPr>
        <w:tc>
          <w:tcPr>
            <w:tcW w:w="1985" w:type="dxa"/>
            <w:tcBorders>
              <w:top w:val="nil"/>
              <w:left w:val="nil"/>
              <w:bottom w:val="nil"/>
              <w:right w:val="nil"/>
            </w:tcBorders>
            <w:shd w:val="clear" w:color="FFFFFF" w:fill="7030A0"/>
            <w:vAlign w:val="center"/>
            <w:hideMark/>
          </w:tcPr>
          <w:p w14:paraId="4A52FD4F"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Incidents</w:t>
            </w:r>
          </w:p>
        </w:tc>
        <w:tc>
          <w:tcPr>
            <w:tcW w:w="1276" w:type="dxa"/>
            <w:tcBorders>
              <w:left w:val="nil"/>
            </w:tcBorders>
            <w:shd w:val="clear" w:color="auto" w:fill="auto"/>
            <w:noWrap/>
          </w:tcPr>
          <w:p w14:paraId="6CCC9437" w14:textId="618819CE"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134" w:type="dxa"/>
            <w:shd w:val="clear" w:color="auto" w:fill="auto"/>
            <w:noWrap/>
          </w:tcPr>
          <w:p w14:paraId="7F5EFDFC" w14:textId="4E208E85"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7A429E0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68B6ACD8" w14:textId="6E1C2ED4"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1134" w:type="dxa"/>
            <w:shd w:val="clear" w:color="auto" w:fill="auto"/>
            <w:noWrap/>
          </w:tcPr>
          <w:p w14:paraId="4311BD00" w14:textId="07CB3567"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1A8C7D5F" w14:textId="05988003"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1134" w:type="dxa"/>
            <w:shd w:val="clear" w:color="auto" w:fill="auto"/>
            <w:noWrap/>
          </w:tcPr>
          <w:p w14:paraId="1AB26D38" w14:textId="30710A56"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55</w:t>
            </w:r>
          </w:p>
        </w:tc>
      </w:tr>
      <w:tr w:rsidR="004E24C8" w:rsidRPr="0035061A" w14:paraId="26C0B385" w14:textId="77777777" w:rsidTr="00115A44">
        <w:trPr>
          <w:trHeight w:val="567"/>
        </w:trPr>
        <w:tc>
          <w:tcPr>
            <w:tcW w:w="1985" w:type="dxa"/>
            <w:tcBorders>
              <w:top w:val="nil"/>
              <w:left w:val="nil"/>
              <w:bottom w:val="nil"/>
              <w:right w:val="nil"/>
            </w:tcBorders>
            <w:shd w:val="clear" w:color="FFFFFF" w:fill="7030A0"/>
            <w:vAlign w:val="center"/>
            <w:hideMark/>
          </w:tcPr>
          <w:p w14:paraId="1B95E300"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Employee Incidents</w:t>
            </w:r>
          </w:p>
        </w:tc>
        <w:tc>
          <w:tcPr>
            <w:tcW w:w="1276" w:type="dxa"/>
            <w:tcBorders>
              <w:left w:val="nil"/>
            </w:tcBorders>
            <w:shd w:val="clear" w:color="auto" w:fill="auto"/>
            <w:noWrap/>
          </w:tcPr>
          <w:p w14:paraId="60323749" w14:textId="050B2938"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134" w:type="dxa"/>
            <w:shd w:val="clear" w:color="auto" w:fill="auto"/>
            <w:noWrap/>
          </w:tcPr>
          <w:p w14:paraId="017FE5E2" w14:textId="6DB0CAE0"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2A2B3F8" w14:textId="0C641577"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56DEF2A8" w14:textId="5E58E9AC"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134" w:type="dxa"/>
            <w:shd w:val="clear" w:color="auto" w:fill="auto"/>
            <w:noWrap/>
          </w:tcPr>
          <w:p w14:paraId="420FF9E6" w14:textId="1C9354D5"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79F2CD0F" w14:textId="0AC01782"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1134" w:type="dxa"/>
            <w:shd w:val="clear" w:color="auto" w:fill="auto"/>
            <w:noWrap/>
          </w:tcPr>
          <w:p w14:paraId="72B1B6DA" w14:textId="4735FEF7"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r>
      <w:tr w:rsidR="004E24C8" w:rsidRPr="0035061A" w14:paraId="2D5EE676" w14:textId="77777777" w:rsidTr="00115A44">
        <w:trPr>
          <w:trHeight w:val="567"/>
        </w:trPr>
        <w:tc>
          <w:tcPr>
            <w:tcW w:w="1985" w:type="dxa"/>
            <w:tcBorders>
              <w:top w:val="nil"/>
              <w:left w:val="nil"/>
              <w:bottom w:val="nil"/>
              <w:right w:val="nil"/>
            </w:tcBorders>
            <w:shd w:val="clear" w:color="FFFFFF" w:fill="7030A0"/>
            <w:vAlign w:val="center"/>
            <w:hideMark/>
          </w:tcPr>
          <w:p w14:paraId="49B3C590"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Student Incidents</w:t>
            </w:r>
          </w:p>
        </w:tc>
        <w:tc>
          <w:tcPr>
            <w:tcW w:w="1276" w:type="dxa"/>
            <w:tcBorders>
              <w:left w:val="nil"/>
            </w:tcBorders>
            <w:shd w:val="clear" w:color="auto" w:fill="auto"/>
            <w:noWrap/>
          </w:tcPr>
          <w:p w14:paraId="10AF13C3" w14:textId="2A770F88"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1134" w:type="dxa"/>
            <w:shd w:val="clear" w:color="auto" w:fill="auto"/>
            <w:noWrap/>
          </w:tcPr>
          <w:p w14:paraId="2795C947" w14:textId="289C00D1"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38576D6E" w14:textId="15678326"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0D0DD720" w14:textId="4A44F4AF"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134" w:type="dxa"/>
            <w:shd w:val="clear" w:color="auto" w:fill="auto"/>
            <w:noWrap/>
          </w:tcPr>
          <w:p w14:paraId="6702A902" w14:textId="0C537867"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6C1AAF61" w14:textId="760D9AF0"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56C70D87" w14:textId="6F77778B"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38</w:t>
            </w:r>
          </w:p>
        </w:tc>
      </w:tr>
      <w:tr w:rsidR="004E24C8" w:rsidRPr="0035061A" w14:paraId="257B07F7" w14:textId="77777777" w:rsidTr="00115A44">
        <w:trPr>
          <w:trHeight w:val="567"/>
        </w:trPr>
        <w:tc>
          <w:tcPr>
            <w:tcW w:w="1985" w:type="dxa"/>
            <w:tcBorders>
              <w:top w:val="nil"/>
              <w:left w:val="nil"/>
              <w:bottom w:val="nil"/>
              <w:right w:val="nil"/>
            </w:tcBorders>
            <w:shd w:val="clear" w:color="FFFFFF" w:fill="7030A0"/>
            <w:vAlign w:val="center"/>
            <w:hideMark/>
          </w:tcPr>
          <w:p w14:paraId="2CBBFE5B"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Visitor Incidents</w:t>
            </w:r>
          </w:p>
        </w:tc>
        <w:tc>
          <w:tcPr>
            <w:tcW w:w="1276" w:type="dxa"/>
            <w:tcBorders>
              <w:left w:val="nil"/>
            </w:tcBorders>
            <w:shd w:val="clear" w:color="auto" w:fill="auto"/>
            <w:noWrap/>
          </w:tcPr>
          <w:p w14:paraId="4319B975" w14:textId="461BF6B8"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4CEC9385" w14:textId="3598546B"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AE4433D" w14:textId="46D8B040"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11F4408C" w14:textId="7B2C6921" w:rsidR="004E24C8" w:rsidRPr="0035061A" w:rsidRDefault="003C4D02"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134" w:type="dxa"/>
            <w:shd w:val="clear" w:color="auto" w:fill="auto"/>
            <w:noWrap/>
          </w:tcPr>
          <w:p w14:paraId="625CF5FA" w14:textId="763100FC"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3555DBA" w14:textId="7FA38775"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1CF95D3F" w14:textId="4D8C2C9A" w:rsidR="004E24C8" w:rsidRPr="0035061A" w:rsidRDefault="0047396E"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r>
      <w:tr w:rsidR="004E24C8" w:rsidRPr="0035061A" w14:paraId="22EB5010" w14:textId="77777777" w:rsidTr="00115A44">
        <w:trPr>
          <w:trHeight w:val="567"/>
        </w:trPr>
        <w:tc>
          <w:tcPr>
            <w:tcW w:w="1985" w:type="dxa"/>
            <w:tcBorders>
              <w:top w:val="nil"/>
              <w:left w:val="nil"/>
              <w:bottom w:val="nil"/>
              <w:right w:val="nil"/>
            </w:tcBorders>
            <w:shd w:val="clear" w:color="FFFFFF" w:fill="7030A0"/>
            <w:vAlign w:val="center"/>
            <w:hideMark/>
          </w:tcPr>
          <w:p w14:paraId="7BED4C8B"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Contractor Incidents</w:t>
            </w:r>
          </w:p>
        </w:tc>
        <w:tc>
          <w:tcPr>
            <w:tcW w:w="1276" w:type="dxa"/>
            <w:tcBorders>
              <w:left w:val="nil"/>
            </w:tcBorders>
            <w:shd w:val="clear" w:color="auto" w:fill="auto"/>
            <w:noWrap/>
          </w:tcPr>
          <w:p w14:paraId="599E6B14" w14:textId="2AD84B21"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D7EBE66" w14:textId="301FB1EC"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725B2A9D" w14:textId="5D29DD92"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E7EC7E4" w14:textId="10FF2E70"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50C73D3C" w14:textId="64D5A32D"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0685049C" w14:textId="60DB1C4D"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380E9809" w14:textId="6E7C0A5B" w:rsidR="004E24C8" w:rsidRPr="0035061A" w:rsidRDefault="007218E3"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p>
        </w:tc>
      </w:tr>
      <w:tr w:rsidR="002E380E" w:rsidRPr="0035061A" w14:paraId="1CEAE9BA" w14:textId="77777777" w:rsidTr="00115A44">
        <w:trPr>
          <w:trHeight w:val="567"/>
        </w:trPr>
        <w:tc>
          <w:tcPr>
            <w:tcW w:w="1985" w:type="dxa"/>
            <w:tcBorders>
              <w:top w:val="nil"/>
              <w:left w:val="nil"/>
              <w:bottom w:val="nil"/>
              <w:right w:val="nil"/>
            </w:tcBorders>
            <w:shd w:val="clear" w:color="FFFFFF" w:fill="7030A0"/>
            <w:vAlign w:val="center"/>
            <w:hideMark/>
          </w:tcPr>
          <w:p w14:paraId="386B3188"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Hazards</w:t>
            </w:r>
          </w:p>
        </w:tc>
        <w:tc>
          <w:tcPr>
            <w:tcW w:w="1276" w:type="dxa"/>
            <w:tcBorders>
              <w:left w:val="nil"/>
            </w:tcBorders>
            <w:shd w:val="clear" w:color="auto" w:fill="auto"/>
            <w:noWrap/>
          </w:tcPr>
          <w:p w14:paraId="0357FF55" w14:textId="5F35023D"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tcPr>
          <w:p w14:paraId="61EB19F2" w14:textId="606ABA66"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tcPr>
          <w:p w14:paraId="134F505A" w14:textId="38EA7AD5"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64CA54B3" w14:textId="68B9797F"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tcPr>
          <w:p w14:paraId="41204639"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0E32C177" w14:textId="56B4B81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4C34B404" w14:textId="2107FC26"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r w:rsidR="002E380E" w:rsidRPr="0035061A" w14:paraId="40743245" w14:textId="77777777" w:rsidTr="00115A44">
        <w:trPr>
          <w:trHeight w:val="567"/>
        </w:trPr>
        <w:tc>
          <w:tcPr>
            <w:tcW w:w="1985" w:type="dxa"/>
            <w:tcBorders>
              <w:top w:val="nil"/>
              <w:left w:val="nil"/>
              <w:bottom w:val="nil"/>
              <w:right w:val="nil"/>
            </w:tcBorders>
            <w:shd w:val="clear" w:color="FFFFFF" w:fill="7030A0"/>
            <w:vAlign w:val="center"/>
            <w:hideMark/>
          </w:tcPr>
          <w:p w14:paraId="7B154A1A"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Employee Hazards</w:t>
            </w:r>
          </w:p>
        </w:tc>
        <w:tc>
          <w:tcPr>
            <w:tcW w:w="1276" w:type="dxa"/>
            <w:tcBorders>
              <w:left w:val="nil"/>
            </w:tcBorders>
            <w:shd w:val="clear" w:color="auto" w:fill="auto"/>
            <w:noWrap/>
            <w:hideMark/>
          </w:tcPr>
          <w:p w14:paraId="7AC8B6DC" w14:textId="0659CEB5"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hideMark/>
          </w:tcPr>
          <w:p w14:paraId="011C1A06" w14:textId="5F217AF7"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hideMark/>
          </w:tcPr>
          <w:p w14:paraId="2E1F14A6" w14:textId="3BA24D14"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7967EE2F" w14:textId="51ECFFC3"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34" w:type="dxa"/>
            <w:shd w:val="clear" w:color="auto" w:fill="auto"/>
            <w:noWrap/>
            <w:hideMark/>
          </w:tcPr>
          <w:p w14:paraId="23296A2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06DA8A7A" w14:textId="6438D17E"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08FF2D29" w14:textId="44B7A2C7" w:rsidR="00BE4832" w:rsidRPr="0035061A" w:rsidRDefault="003C4D02"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r w:rsidR="002E380E" w:rsidRPr="0035061A" w14:paraId="0E16B788" w14:textId="77777777" w:rsidTr="00115A44">
        <w:trPr>
          <w:trHeight w:val="567"/>
        </w:trPr>
        <w:tc>
          <w:tcPr>
            <w:tcW w:w="1985" w:type="dxa"/>
            <w:tcBorders>
              <w:top w:val="nil"/>
              <w:left w:val="nil"/>
              <w:bottom w:val="nil"/>
              <w:right w:val="nil"/>
            </w:tcBorders>
            <w:shd w:val="clear" w:color="FFFFFF" w:fill="7030A0"/>
            <w:vAlign w:val="center"/>
            <w:hideMark/>
          </w:tcPr>
          <w:p w14:paraId="44B959A2"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Student Hazards</w:t>
            </w:r>
          </w:p>
        </w:tc>
        <w:tc>
          <w:tcPr>
            <w:tcW w:w="1276" w:type="dxa"/>
            <w:tcBorders>
              <w:left w:val="nil"/>
            </w:tcBorders>
            <w:shd w:val="clear" w:color="auto" w:fill="auto"/>
            <w:noWrap/>
            <w:hideMark/>
          </w:tcPr>
          <w:p w14:paraId="15B06A28"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2BE52CE4"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11F7EEB0"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F8C90D4" w14:textId="50C94BBD"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7E9D0C5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9F0A659"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502A9EB0" w14:textId="1532FD3C"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6A53C37E" w14:textId="77777777" w:rsidTr="00115A44">
        <w:trPr>
          <w:trHeight w:val="567"/>
        </w:trPr>
        <w:tc>
          <w:tcPr>
            <w:tcW w:w="1985" w:type="dxa"/>
            <w:tcBorders>
              <w:top w:val="nil"/>
              <w:left w:val="nil"/>
              <w:bottom w:val="nil"/>
              <w:right w:val="nil"/>
            </w:tcBorders>
            <w:shd w:val="clear" w:color="FFFFFF" w:fill="7030A0"/>
            <w:vAlign w:val="center"/>
            <w:hideMark/>
          </w:tcPr>
          <w:p w14:paraId="188B9DF9"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Visitor Hazards</w:t>
            </w:r>
          </w:p>
        </w:tc>
        <w:tc>
          <w:tcPr>
            <w:tcW w:w="1276" w:type="dxa"/>
            <w:tcBorders>
              <w:left w:val="nil"/>
            </w:tcBorders>
            <w:shd w:val="clear" w:color="auto" w:fill="auto"/>
            <w:noWrap/>
            <w:hideMark/>
          </w:tcPr>
          <w:p w14:paraId="3F380A76"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3F622C3"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74A08122"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4C86DD94"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CEF43B7"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3205B23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1F932088"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1F08C9AA" w14:textId="77777777" w:rsidTr="00115A44">
        <w:trPr>
          <w:trHeight w:val="567"/>
        </w:trPr>
        <w:tc>
          <w:tcPr>
            <w:tcW w:w="1985" w:type="dxa"/>
            <w:tcBorders>
              <w:top w:val="nil"/>
              <w:left w:val="nil"/>
              <w:bottom w:val="nil"/>
              <w:right w:val="nil"/>
            </w:tcBorders>
            <w:shd w:val="clear" w:color="FFFFFF" w:fill="7030A0"/>
            <w:vAlign w:val="center"/>
            <w:hideMark/>
          </w:tcPr>
          <w:p w14:paraId="2A7F9A8E"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Contractor Hazards</w:t>
            </w:r>
          </w:p>
        </w:tc>
        <w:tc>
          <w:tcPr>
            <w:tcW w:w="1276" w:type="dxa"/>
            <w:tcBorders>
              <w:left w:val="nil"/>
            </w:tcBorders>
            <w:shd w:val="clear" w:color="auto" w:fill="auto"/>
            <w:noWrap/>
            <w:hideMark/>
          </w:tcPr>
          <w:p w14:paraId="7C5914FF" w14:textId="393B0824"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00876B8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6635F63C"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3F3438DC"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517625C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hideMark/>
          </w:tcPr>
          <w:p w14:paraId="3C94965E"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4" w:type="dxa"/>
            <w:shd w:val="clear" w:color="auto" w:fill="auto"/>
            <w:noWrap/>
          </w:tcPr>
          <w:p w14:paraId="2B5961C7" w14:textId="23BE661A"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29854C80" w14:textId="77777777" w:rsidTr="00115A44">
        <w:trPr>
          <w:trHeight w:val="567"/>
        </w:trPr>
        <w:tc>
          <w:tcPr>
            <w:tcW w:w="1985" w:type="dxa"/>
            <w:tcBorders>
              <w:top w:val="nil"/>
              <w:left w:val="nil"/>
              <w:bottom w:val="nil"/>
              <w:right w:val="nil"/>
            </w:tcBorders>
            <w:shd w:val="clear" w:color="FFFFFF" w:fill="7030A0"/>
            <w:vAlign w:val="center"/>
            <w:hideMark/>
          </w:tcPr>
          <w:p w14:paraId="2F2D4557" w14:textId="187969D9" w:rsidR="00BE4832" w:rsidRPr="0035061A" w:rsidRDefault="001A581E"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Incidents</w:t>
            </w:r>
            <w:r w:rsidR="00BE4832" w:rsidRPr="0035061A">
              <w:rPr>
                <w:rFonts w:asciiTheme="minorHAnsi" w:hAnsiTheme="minorHAnsi" w:cstheme="minorHAnsi"/>
                <w:b/>
                <w:bCs/>
                <w:color w:val="FFFFFF"/>
                <w:sz w:val="22"/>
                <w:szCs w:val="22"/>
              </w:rPr>
              <w:t xml:space="preserve"> Remaining Open</w:t>
            </w:r>
          </w:p>
        </w:tc>
        <w:tc>
          <w:tcPr>
            <w:tcW w:w="1276" w:type="dxa"/>
            <w:tcBorders>
              <w:left w:val="nil"/>
            </w:tcBorders>
            <w:shd w:val="clear" w:color="auto" w:fill="auto"/>
            <w:noWrap/>
            <w:hideMark/>
          </w:tcPr>
          <w:p w14:paraId="76C9F87D" w14:textId="2ECE4D39"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5</w:t>
            </w:r>
          </w:p>
        </w:tc>
        <w:tc>
          <w:tcPr>
            <w:tcW w:w="1134" w:type="dxa"/>
            <w:shd w:val="clear" w:color="auto" w:fill="auto"/>
            <w:noWrap/>
            <w:hideMark/>
          </w:tcPr>
          <w:p w14:paraId="3D4EC41A"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11C5FA7B"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7326FCC6" w14:textId="068F1894" w:rsidR="00BE4832" w:rsidRPr="0035061A" w:rsidRDefault="003C4D02" w:rsidP="00F970DA">
            <w:pPr>
              <w:jc w:val="center"/>
              <w:rPr>
                <w:rFonts w:asciiTheme="minorHAnsi" w:hAnsiTheme="minorHAnsi" w:cstheme="minorHAnsi"/>
                <w:sz w:val="22"/>
                <w:szCs w:val="22"/>
              </w:rPr>
            </w:pPr>
            <w:r>
              <w:rPr>
                <w:rFonts w:asciiTheme="minorHAnsi" w:hAnsiTheme="minorHAnsi" w:cstheme="minorHAnsi"/>
                <w:sz w:val="22"/>
                <w:szCs w:val="22"/>
              </w:rPr>
              <w:t>24</w:t>
            </w:r>
          </w:p>
        </w:tc>
        <w:tc>
          <w:tcPr>
            <w:tcW w:w="1134" w:type="dxa"/>
            <w:shd w:val="clear" w:color="auto" w:fill="auto"/>
            <w:noWrap/>
            <w:hideMark/>
          </w:tcPr>
          <w:p w14:paraId="39BC2BB2" w14:textId="258D4812"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02E51792" w14:textId="72D3FCD5" w:rsidR="00BE4832" w:rsidRPr="0035061A" w:rsidRDefault="003C4D02"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29C5EF97" w14:textId="1747A30B" w:rsidR="00BE4832" w:rsidRPr="0035061A" w:rsidRDefault="00616320"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29</w:t>
            </w:r>
          </w:p>
        </w:tc>
      </w:tr>
      <w:tr w:rsidR="002E380E" w:rsidRPr="0035061A" w14:paraId="5574111E" w14:textId="77777777" w:rsidTr="00115A44">
        <w:trPr>
          <w:trHeight w:val="567"/>
        </w:trPr>
        <w:tc>
          <w:tcPr>
            <w:tcW w:w="1985" w:type="dxa"/>
            <w:tcBorders>
              <w:top w:val="nil"/>
              <w:left w:val="nil"/>
              <w:bottom w:val="nil"/>
              <w:right w:val="nil"/>
            </w:tcBorders>
            <w:shd w:val="clear" w:color="FFFFFF" w:fill="7030A0"/>
            <w:vAlign w:val="center"/>
            <w:hideMark/>
          </w:tcPr>
          <w:p w14:paraId="79D49068"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Lodged</w:t>
            </w:r>
          </w:p>
        </w:tc>
        <w:tc>
          <w:tcPr>
            <w:tcW w:w="1276" w:type="dxa"/>
            <w:tcBorders>
              <w:left w:val="nil"/>
            </w:tcBorders>
            <w:shd w:val="clear" w:color="auto" w:fill="auto"/>
            <w:noWrap/>
            <w:hideMark/>
          </w:tcPr>
          <w:p w14:paraId="6AB4D1AD" w14:textId="7D397A6F"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4</w:t>
            </w:r>
          </w:p>
        </w:tc>
        <w:tc>
          <w:tcPr>
            <w:tcW w:w="1134" w:type="dxa"/>
            <w:shd w:val="clear" w:color="auto" w:fill="auto"/>
            <w:noWrap/>
            <w:hideMark/>
          </w:tcPr>
          <w:p w14:paraId="35DCC944" w14:textId="6BA7A6F8"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7222135C"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204DB293" w14:textId="7C2222E6"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5FC87882" w14:textId="1079FFE6"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shd w:val="clear" w:color="auto" w:fill="auto"/>
            <w:noWrap/>
            <w:hideMark/>
          </w:tcPr>
          <w:p w14:paraId="28C3FB87"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01953DE4" w14:textId="233A842C" w:rsidR="00BE4832" w:rsidRPr="0035061A" w:rsidRDefault="00616320"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r>
      <w:tr w:rsidR="002E380E" w:rsidRPr="0035061A" w14:paraId="19149B2B" w14:textId="77777777" w:rsidTr="00115A44">
        <w:trPr>
          <w:trHeight w:val="567"/>
        </w:trPr>
        <w:tc>
          <w:tcPr>
            <w:tcW w:w="1985" w:type="dxa"/>
            <w:tcBorders>
              <w:top w:val="nil"/>
              <w:left w:val="nil"/>
              <w:bottom w:val="nil"/>
              <w:right w:val="nil"/>
            </w:tcBorders>
            <w:shd w:val="clear" w:color="FFFFFF" w:fill="7030A0"/>
            <w:vAlign w:val="center"/>
            <w:hideMark/>
          </w:tcPr>
          <w:p w14:paraId="60C19C11"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Currently Open</w:t>
            </w:r>
          </w:p>
        </w:tc>
        <w:tc>
          <w:tcPr>
            <w:tcW w:w="1276" w:type="dxa"/>
            <w:tcBorders>
              <w:left w:val="nil"/>
            </w:tcBorders>
            <w:shd w:val="clear" w:color="auto" w:fill="auto"/>
            <w:noWrap/>
            <w:hideMark/>
          </w:tcPr>
          <w:p w14:paraId="7E8D1A41" w14:textId="29ECDDE8"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7</w:t>
            </w:r>
          </w:p>
        </w:tc>
        <w:tc>
          <w:tcPr>
            <w:tcW w:w="1134" w:type="dxa"/>
            <w:shd w:val="clear" w:color="auto" w:fill="auto"/>
            <w:noWrap/>
            <w:hideMark/>
          </w:tcPr>
          <w:p w14:paraId="063526E7" w14:textId="360F4AE5"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shd w:val="clear" w:color="auto" w:fill="auto"/>
            <w:noWrap/>
            <w:hideMark/>
          </w:tcPr>
          <w:p w14:paraId="402225FD" w14:textId="6919ACE9"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79182BFB" w14:textId="6176128B"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9</w:t>
            </w:r>
          </w:p>
        </w:tc>
        <w:tc>
          <w:tcPr>
            <w:tcW w:w="1134" w:type="dxa"/>
            <w:shd w:val="clear" w:color="auto" w:fill="auto"/>
            <w:noWrap/>
            <w:hideMark/>
          </w:tcPr>
          <w:p w14:paraId="2F5C2A8E" w14:textId="167B3DA8"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shd w:val="clear" w:color="auto" w:fill="auto"/>
            <w:noWrap/>
            <w:hideMark/>
          </w:tcPr>
          <w:p w14:paraId="7DD9527D" w14:textId="3EBA7D35"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shd w:val="clear" w:color="auto" w:fill="auto"/>
            <w:noWrap/>
            <w:hideMark/>
          </w:tcPr>
          <w:p w14:paraId="153E7B80" w14:textId="743EFADE" w:rsidR="00BE4832" w:rsidRPr="0035061A" w:rsidRDefault="00616320"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r>
      <w:tr w:rsidR="002E380E" w:rsidRPr="0035061A" w14:paraId="56D8CFCE" w14:textId="77777777" w:rsidTr="00115A44">
        <w:trPr>
          <w:trHeight w:val="567"/>
        </w:trPr>
        <w:tc>
          <w:tcPr>
            <w:tcW w:w="1985" w:type="dxa"/>
            <w:tcBorders>
              <w:top w:val="nil"/>
              <w:left w:val="nil"/>
              <w:bottom w:val="nil"/>
              <w:right w:val="nil"/>
            </w:tcBorders>
            <w:shd w:val="clear" w:color="FFFFFF" w:fill="7030A0"/>
            <w:vAlign w:val="center"/>
            <w:hideMark/>
          </w:tcPr>
          <w:p w14:paraId="469186E7"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Closed</w:t>
            </w:r>
          </w:p>
        </w:tc>
        <w:tc>
          <w:tcPr>
            <w:tcW w:w="1276" w:type="dxa"/>
            <w:tcBorders>
              <w:left w:val="nil"/>
            </w:tcBorders>
            <w:shd w:val="clear" w:color="auto" w:fill="auto"/>
            <w:noWrap/>
            <w:hideMark/>
          </w:tcPr>
          <w:p w14:paraId="57F1344B" w14:textId="2160AECE"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5B6FFC0F" w14:textId="5D7DE29D"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7225AAFB" w14:textId="5757E6E0"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2A1D4FBA" w14:textId="75517A5C"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shd w:val="clear" w:color="auto" w:fill="auto"/>
            <w:noWrap/>
            <w:hideMark/>
          </w:tcPr>
          <w:p w14:paraId="418865D1" w14:textId="36F483FB"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28B6D533" w14:textId="5F888754"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noWrap/>
            <w:hideMark/>
          </w:tcPr>
          <w:p w14:paraId="091DC9F1" w14:textId="7477D83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w:t>
            </w:r>
          </w:p>
        </w:tc>
      </w:tr>
      <w:tr w:rsidR="002E380E" w:rsidRPr="0035061A" w14:paraId="7B5CB2A2" w14:textId="77777777" w:rsidTr="00115A44">
        <w:trPr>
          <w:trHeight w:val="567"/>
        </w:trPr>
        <w:tc>
          <w:tcPr>
            <w:tcW w:w="1985" w:type="dxa"/>
            <w:tcBorders>
              <w:top w:val="nil"/>
              <w:left w:val="nil"/>
              <w:bottom w:val="nil"/>
              <w:right w:val="nil"/>
            </w:tcBorders>
            <w:shd w:val="clear" w:color="FFFFFF" w:fill="7030A0"/>
            <w:vAlign w:val="center"/>
            <w:hideMark/>
          </w:tcPr>
          <w:p w14:paraId="56A906F3"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Days Lost</w:t>
            </w:r>
          </w:p>
        </w:tc>
        <w:tc>
          <w:tcPr>
            <w:tcW w:w="1276" w:type="dxa"/>
            <w:tcBorders>
              <w:left w:val="nil"/>
            </w:tcBorders>
            <w:shd w:val="clear" w:color="auto" w:fill="auto"/>
            <w:noWrap/>
            <w:hideMark/>
          </w:tcPr>
          <w:p w14:paraId="2D7C6E72" w14:textId="13BC8121" w:rsidR="00BE4832" w:rsidRPr="0035061A" w:rsidRDefault="00BE4832" w:rsidP="00F970DA">
            <w:pPr>
              <w:jc w:val="center"/>
              <w:rPr>
                <w:rFonts w:asciiTheme="minorHAnsi" w:hAnsiTheme="minorHAnsi" w:cstheme="minorHAnsi"/>
                <w:sz w:val="22"/>
                <w:szCs w:val="22"/>
              </w:rPr>
            </w:pPr>
          </w:p>
        </w:tc>
        <w:tc>
          <w:tcPr>
            <w:tcW w:w="1134" w:type="dxa"/>
            <w:shd w:val="clear" w:color="auto" w:fill="auto"/>
            <w:noWrap/>
            <w:hideMark/>
          </w:tcPr>
          <w:p w14:paraId="19A5E0E9" w14:textId="1937936D"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0BB207CA"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47E18C40" w14:textId="0F9F9AE8"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252</w:t>
            </w:r>
          </w:p>
        </w:tc>
        <w:tc>
          <w:tcPr>
            <w:tcW w:w="1134" w:type="dxa"/>
            <w:shd w:val="clear" w:color="auto" w:fill="auto"/>
            <w:noWrap/>
            <w:hideMark/>
          </w:tcPr>
          <w:p w14:paraId="32CE521C"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4" w:type="dxa"/>
            <w:shd w:val="clear" w:color="auto" w:fill="auto"/>
            <w:noWrap/>
            <w:hideMark/>
          </w:tcPr>
          <w:p w14:paraId="3030D45D" w14:textId="4D204113" w:rsidR="00BE4832" w:rsidRPr="0035061A" w:rsidRDefault="00616320" w:rsidP="00F970DA">
            <w:pPr>
              <w:jc w:val="center"/>
              <w:rPr>
                <w:rFonts w:asciiTheme="minorHAnsi" w:hAnsiTheme="minorHAnsi" w:cstheme="minorHAnsi"/>
                <w:sz w:val="22"/>
                <w:szCs w:val="22"/>
              </w:rPr>
            </w:pPr>
            <w:r>
              <w:rPr>
                <w:rFonts w:asciiTheme="minorHAnsi" w:hAnsiTheme="minorHAnsi" w:cstheme="minorHAnsi"/>
                <w:sz w:val="22"/>
                <w:szCs w:val="22"/>
              </w:rPr>
              <w:t>63</w:t>
            </w:r>
          </w:p>
        </w:tc>
        <w:tc>
          <w:tcPr>
            <w:tcW w:w="1134" w:type="dxa"/>
            <w:shd w:val="clear" w:color="auto" w:fill="auto"/>
            <w:noWrap/>
            <w:hideMark/>
          </w:tcPr>
          <w:p w14:paraId="5C4FC59B" w14:textId="47C66DD4" w:rsidR="00BE4832" w:rsidRPr="0035061A" w:rsidRDefault="00616320" w:rsidP="00F970DA">
            <w:pPr>
              <w:jc w:val="center"/>
              <w:rPr>
                <w:rFonts w:asciiTheme="minorHAnsi" w:hAnsiTheme="minorHAnsi" w:cstheme="minorHAnsi"/>
                <w:color w:val="000000"/>
                <w:sz w:val="22"/>
                <w:szCs w:val="22"/>
              </w:rPr>
            </w:pPr>
            <w:r>
              <w:rPr>
                <w:rFonts w:asciiTheme="minorHAnsi" w:hAnsiTheme="minorHAnsi" w:cstheme="minorHAnsi"/>
                <w:color w:val="000000"/>
                <w:sz w:val="22"/>
                <w:szCs w:val="22"/>
              </w:rPr>
              <w:t>315</w:t>
            </w:r>
          </w:p>
        </w:tc>
      </w:tr>
      <w:tr w:rsidR="00736088" w:rsidRPr="0035061A" w14:paraId="4868A26B" w14:textId="77777777" w:rsidTr="00115A44">
        <w:trPr>
          <w:trHeight w:val="567"/>
        </w:trPr>
        <w:tc>
          <w:tcPr>
            <w:tcW w:w="1985" w:type="dxa"/>
            <w:tcBorders>
              <w:top w:val="nil"/>
              <w:left w:val="nil"/>
              <w:bottom w:val="nil"/>
              <w:right w:val="nil"/>
            </w:tcBorders>
            <w:shd w:val="clear" w:color="FFFFFF" w:fill="7030A0"/>
            <w:vAlign w:val="center"/>
            <w:hideMark/>
          </w:tcPr>
          <w:p w14:paraId="5E3760D7" w14:textId="46D955B2" w:rsidR="00736088" w:rsidRPr="0035061A" w:rsidRDefault="00736088" w:rsidP="0073608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EAP Counselling Sessions Q</w:t>
            </w:r>
            <w:r w:rsidR="00616320">
              <w:rPr>
                <w:rFonts w:asciiTheme="minorHAnsi" w:hAnsiTheme="minorHAnsi" w:cstheme="minorHAnsi"/>
                <w:b/>
                <w:bCs/>
                <w:color w:val="FFFFFF"/>
                <w:sz w:val="22"/>
                <w:szCs w:val="22"/>
              </w:rPr>
              <w:t>4</w:t>
            </w:r>
            <w:r w:rsidRPr="0035061A">
              <w:rPr>
                <w:rFonts w:asciiTheme="minorHAnsi" w:hAnsiTheme="minorHAnsi" w:cstheme="minorHAnsi"/>
                <w:b/>
                <w:bCs/>
                <w:color w:val="FFFFFF"/>
                <w:sz w:val="22"/>
                <w:szCs w:val="22"/>
              </w:rPr>
              <w:t xml:space="preserve"> </w:t>
            </w:r>
            <w:r w:rsidRPr="0035061A">
              <w:rPr>
                <w:rFonts w:asciiTheme="minorHAnsi" w:hAnsiTheme="minorHAnsi" w:cstheme="minorHAnsi"/>
                <w:b/>
                <w:bCs/>
                <w:color w:val="FFFFFF"/>
                <w:sz w:val="22"/>
                <w:szCs w:val="22"/>
              </w:rPr>
              <w:br/>
            </w:r>
          </w:p>
        </w:tc>
        <w:tc>
          <w:tcPr>
            <w:tcW w:w="1276" w:type="dxa"/>
            <w:tcBorders>
              <w:left w:val="nil"/>
            </w:tcBorders>
            <w:shd w:val="clear" w:color="auto" w:fill="auto"/>
            <w:noWrap/>
            <w:hideMark/>
          </w:tcPr>
          <w:p w14:paraId="0D8B025B" w14:textId="4A85CB9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noWrap/>
            <w:hideMark/>
          </w:tcPr>
          <w:p w14:paraId="28E62644" w14:textId="09E06143"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noWrap/>
            <w:hideMark/>
          </w:tcPr>
          <w:p w14:paraId="2056C3F0" w14:textId="7FFFEF0C"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noWrap/>
            <w:hideMark/>
          </w:tcPr>
          <w:p w14:paraId="3BA7A1BC" w14:textId="1882A9E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noWrap/>
            <w:hideMark/>
          </w:tcPr>
          <w:p w14:paraId="28F47114" w14:textId="67BCD736"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noWrap/>
            <w:hideMark/>
          </w:tcPr>
          <w:p w14:paraId="44A2E68E" w14:textId="529919B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4" w:type="dxa"/>
            <w:shd w:val="clear" w:color="auto" w:fill="auto"/>
            <w:hideMark/>
          </w:tcPr>
          <w:p w14:paraId="0AC28BD9" w14:textId="7DD4EBF5" w:rsidR="00616320" w:rsidRDefault="00616320" w:rsidP="00736088">
            <w:pPr>
              <w:jc w:val="center"/>
              <w:rPr>
                <w:rFonts w:asciiTheme="minorHAnsi" w:hAnsiTheme="minorHAnsi" w:cstheme="minorHAnsi"/>
                <w:color w:val="000000"/>
                <w:sz w:val="22"/>
                <w:szCs w:val="22"/>
              </w:rPr>
            </w:pPr>
            <w:r>
              <w:rPr>
                <w:rFonts w:asciiTheme="minorHAnsi" w:hAnsiTheme="minorHAnsi" w:cstheme="minorHAnsi"/>
                <w:color w:val="000000"/>
                <w:sz w:val="22"/>
                <w:szCs w:val="22"/>
              </w:rPr>
              <w:t>96Q4</w:t>
            </w:r>
          </w:p>
          <w:p w14:paraId="6D79E974" w14:textId="552F1842" w:rsidR="00736088" w:rsidRPr="0035061A" w:rsidRDefault="007B4874"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123</w:t>
            </w:r>
            <w:r w:rsidR="0035061A" w:rsidRPr="0035061A">
              <w:rPr>
                <w:rFonts w:asciiTheme="minorHAnsi" w:hAnsiTheme="minorHAnsi" w:cstheme="minorHAnsi"/>
                <w:color w:val="000000"/>
                <w:sz w:val="22"/>
                <w:szCs w:val="22"/>
              </w:rPr>
              <w:t>Q3</w:t>
            </w:r>
          </w:p>
          <w:p w14:paraId="3873AAB5" w14:textId="1AB9639C" w:rsidR="0035061A" w:rsidRPr="0035061A" w:rsidRDefault="0035061A" w:rsidP="00736088">
            <w:pPr>
              <w:jc w:val="center"/>
              <w:rPr>
                <w:rFonts w:asciiTheme="minorHAnsi" w:hAnsiTheme="minorHAnsi" w:cstheme="minorHAnsi"/>
                <w:color w:val="000000"/>
                <w:sz w:val="22"/>
                <w:szCs w:val="22"/>
              </w:rPr>
            </w:pPr>
          </w:p>
        </w:tc>
      </w:tr>
      <w:tr w:rsidR="00585653" w:rsidRPr="005A19FC" w14:paraId="3E4B8F00" w14:textId="77777777" w:rsidTr="00115A44">
        <w:trPr>
          <w:trHeight w:val="581"/>
        </w:trPr>
        <w:tc>
          <w:tcPr>
            <w:tcW w:w="1985" w:type="dxa"/>
            <w:tcBorders>
              <w:top w:val="nil"/>
              <w:left w:val="nil"/>
              <w:bottom w:val="nil"/>
              <w:right w:val="nil"/>
            </w:tcBorders>
            <w:shd w:val="clear" w:color="FFFFFF" w:fill="7030A0"/>
            <w:vAlign w:val="center"/>
            <w:hideMark/>
          </w:tcPr>
          <w:p w14:paraId="1B1D77B3" w14:textId="4916F46F" w:rsidR="00585653" w:rsidRDefault="00585653" w:rsidP="00585653">
            <w:pPr>
              <w:jc w:val="right"/>
              <w:rPr>
                <w:b/>
                <w:bCs/>
                <w:color w:val="FFFFFF"/>
                <w:sz w:val="18"/>
                <w:szCs w:val="18"/>
              </w:rPr>
            </w:pPr>
            <w:r w:rsidRPr="008E393E">
              <w:rPr>
                <w:b/>
                <w:bCs/>
                <w:color w:val="FFFFFF"/>
                <w:sz w:val="18"/>
                <w:szCs w:val="18"/>
              </w:rPr>
              <w:t xml:space="preserve">WHS Mandatory Training Completion </w:t>
            </w:r>
            <w:r>
              <w:rPr>
                <w:b/>
                <w:bCs/>
                <w:color w:val="FFFFFF"/>
                <w:sz w:val="18"/>
                <w:szCs w:val="18"/>
              </w:rPr>
              <w:t>(New staff (2023) / All staff)</w:t>
            </w:r>
          </w:p>
          <w:p w14:paraId="5485BFDB" w14:textId="77777777" w:rsidR="00585653" w:rsidRPr="008E393E" w:rsidRDefault="00585653" w:rsidP="00585653">
            <w:pPr>
              <w:jc w:val="right"/>
              <w:rPr>
                <w:b/>
                <w:bCs/>
                <w:color w:val="FFFFFF"/>
                <w:sz w:val="18"/>
                <w:szCs w:val="18"/>
              </w:rPr>
            </w:pPr>
          </w:p>
        </w:tc>
        <w:tc>
          <w:tcPr>
            <w:tcW w:w="8080" w:type="dxa"/>
            <w:gridSpan w:val="7"/>
            <w:tcBorders>
              <w:left w:val="nil"/>
            </w:tcBorders>
            <w:shd w:val="clear" w:color="auto" w:fill="auto"/>
            <w:noWrap/>
          </w:tcPr>
          <w:p w14:paraId="497E6C52" w14:textId="6E92300F" w:rsidR="00585653" w:rsidRPr="00585653" w:rsidRDefault="002C3301" w:rsidP="00585653">
            <w:pPr>
              <w:pStyle w:val="ListParagraph"/>
              <w:ind w:left="720"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76</w:t>
            </w:r>
            <w:r w:rsidR="00585653" w:rsidRPr="00585653">
              <w:rPr>
                <w:rFonts w:asciiTheme="minorHAnsi" w:hAnsiTheme="minorHAnsi" w:cstheme="minorHAnsi"/>
                <w:color w:val="000000"/>
                <w:sz w:val="22"/>
                <w:szCs w:val="22"/>
              </w:rPr>
              <w:t xml:space="preserve">% </w:t>
            </w:r>
            <w:r w:rsidR="00585653">
              <w:rPr>
                <w:rFonts w:asciiTheme="minorHAnsi" w:hAnsiTheme="minorHAnsi" w:cstheme="minorHAnsi"/>
                <w:color w:val="000000"/>
                <w:sz w:val="22"/>
                <w:szCs w:val="22"/>
              </w:rPr>
              <w:t xml:space="preserve">staff completion </w:t>
            </w:r>
            <w:r w:rsidR="0009265D">
              <w:rPr>
                <w:rFonts w:asciiTheme="minorHAnsi" w:hAnsiTheme="minorHAnsi" w:cstheme="minorHAnsi"/>
                <w:color w:val="000000"/>
                <w:sz w:val="22"/>
                <w:szCs w:val="22"/>
              </w:rPr>
              <w:t xml:space="preserve">(new staff since </w:t>
            </w:r>
            <w:r w:rsidR="00585653">
              <w:rPr>
                <w:rFonts w:asciiTheme="minorHAnsi" w:hAnsiTheme="minorHAnsi" w:cstheme="minorHAnsi"/>
                <w:color w:val="000000"/>
                <w:sz w:val="22"/>
                <w:szCs w:val="22"/>
              </w:rPr>
              <w:t>Jan 23</w:t>
            </w:r>
            <w:r w:rsidR="0009265D">
              <w:rPr>
                <w:rFonts w:asciiTheme="minorHAnsi" w:hAnsiTheme="minorHAnsi" w:cstheme="minorHAnsi"/>
                <w:color w:val="000000"/>
                <w:sz w:val="22"/>
                <w:szCs w:val="22"/>
              </w:rPr>
              <w:t>)</w:t>
            </w:r>
          </w:p>
          <w:p w14:paraId="05C6FFAF" w14:textId="6D304F43" w:rsidR="00585653" w:rsidRPr="00585653" w:rsidRDefault="00585653" w:rsidP="00585653">
            <w:pPr>
              <w:jc w:val="right"/>
              <w:rPr>
                <w:color w:val="000000"/>
                <w:sz w:val="18"/>
                <w:szCs w:val="18"/>
                <w:highlight w:val="yellow"/>
              </w:rPr>
            </w:pPr>
            <w:r w:rsidRPr="00585653">
              <w:rPr>
                <w:rFonts w:asciiTheme="minorHAnsi" w:hAnsiTheme="minorHAnsi" w:cstheme="minorHAnsi"/>
                <w:color w:val="000000"/>
                <w:sz w:val="22"/>
                <w:szCs w:val="22"/>
              </w:rPr>
              <w:t>3</w:t>
            </w:r>
            <w:r w:rsidR="002C3301">
              <w:rPr>
                <w:rFonts w:asciiTheme="minorHAnsi" w:hAnsiTheme="minorHAnsi" w:cstheme="minorHAnsi"/>
                <w:color w:val="000000"/>
                <w:sz w:val="22"/>
                <w:szCs w:val="22"/>
              </w:rPr>
              <w:t>7</w:t>
            </w:r>
            <w:r w:rsidRPr="005856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staff completion </w:t>
            </w:r>
            <w:r w:rsidR="0009265D">
              <w:rPr>
                <w:rFonts w:asciiTheme="minorHAnsi" w:hAnsiTheme="minorHAnsi" w:cstheme="minorHAnsi"/>
                <w:color w:val="000000"/>
                <w:sz w:val="22"/>
                <w:szCs w:val="22"/>
              </w:rPr>
              <w:t xml:space="preserve">(all staff since </w:t>
            </w:r>
            <w:r>
              <w:rPr>
                <w:rFonts w:asciiTheme="minorHAnsi" w:hAnsiTheme="minorHAnsi" w:cstheme="minorHAnsi"/>
                <w:color w:val="000000"/>
                <w:sz w:val="22"/>
                <w:szCs w:val="22"/>
              </w:rPr>
              <w:t>Jan 20</w:t>
            </w:r>
            <w:r w:rsidR="0009265D">
              <w:rPr>
                <w:rFonts w:asciiTheme="minorHAnsi" w:hAnsiTheme="minorHAnsi" w:cstheme="minorHAnsi"/>
                <w:color w:val="000000"/>
                <w:sz w:val="22"/>
                <w:szCs w:val="22"/>
              </w:rPr>
              <w:t>)</w:t>
            </w:r>
          </w:p>
        </w:tc>
      </w:tr>
    </w:tbl>
    <w:p w14:paraId="43B0A7F0" w14:textId="77777777" w:rsidR="00BE4832" w:rsidRDefault="00BE4832" w:rsidP="00585653">
      <w:pPr>
        <w:pStyle w:val="BodyText"/>
        <w:kinsoku w:val="0"/>
        <w:overflowPunct w:val="0"/>
        <w:jc w:val="right"/>
      </w:pPr>
    </w:p>
    <w:p w14:paraId="56858D0D" w14:textId="77777777" w:rsidR="007B6578" w:rsidRDefault="007B6578" w:rsidP="00BE4832">
      <w:pPr>
        <w:pStyle w:val="BodyText"/>
        <w:kinsoku w:val="0"/>
        <w:overflowPunct w:val="0"/>
      </w:pPr>
    </w:p>
    <w:p w14:paraId="49E071B6" w14:textId="25529A31" w:rsidR="0009265D" w:rsidRPr="0047396E" w:rsidRDefault="0009265D" w:rsidP="00BE4832">
      <w:pPr>
        <w:pStyle w:val="BodyText"/>
        <w:kinsoku w:val="0"/>
        <w:overflowPunct w:val="0"/>
        <w:rPr>
          <w:sz w:val="18"/>
          <w:szCs w:val="18"/>
        </w:rPr>
      </w:pPr>
      <w:r w:rsidRPr="0047396E">
        <w:rPr>
          <w:sz w:val="18"/>
          <w:szCs w:val="18"/>
        </w:rPr>
        <w:t>Note: Data included in this report is aligned with the</w:t>
      </w:r>
      <w:r>
        <w:rPr>
          <w:sz w:val="18"/>
          <w:szCs w:val="18"/>
        </w:rPr>
        <w:t xml:space="preserve"> ACU</w:t>
      </w:r>
      <w:r w:rsidRPr="0047396E">
        <w:rPr>
          <w:sz w:val="18"/>
          <w:szCs w:val="18"/>
        </w:rPr>
        <w:t xml:space="preserve"> organisational structure in place prior to the implementation of the Enabling our Future change plans.  Organisational units and portfolios will be progressively aligned in future reports with the new structures as these become reflected in our workforce systems.</w:t>
      </w:r>
    </w:p>
    <w:p w14:paraId="60E9A701" w14:textId="53A415EA" w:rsidR="00633AD9" w:rsidRDefault="00633AD9">
      <w:pPr>
        <w:widowControl/>
        <w:autoSpaceDE/>
        <w:autoSpaceDN/>
        <w:adjustRightInd/>
        <w:rPr>
          <w:sz w:val="20"/>
          <w:szCs w:val="20"/>
        </w:rPr>
      </w:pPr>
      <w:r>
        <w:br w:type="page"/>
      </w:r>
    </w:p>
    <w:p w14:paraId="322FB016" w14:textId="40DA4AFA" w:rsidR="007B6578" w:rsidRPr="00676B73" w:rsidRDefault="007B6578" w:rsidP="007B6578">
      <w:pPr>
        <w:pStyle w:val="BodyText"/>
        <w:kinsoku w:val="0"/>
        <w:overflowPunct w:val="0"/>
        <w:rPr>
          <w:b/>
          <w:bCs/>
        </w:rPr>
      </w:pPr>
      <w:r>
        <w:rPr>
          <w:b/>
          <w:bCs/>
        </w:rPr>
        <w:lastRenderedPageBreak/>
        <w:t xml:space="preserve">2.3 </w:t>
      </w:r>
      <w:r w:rsidR="00F20255">
        <w:rPr>
          <w:b/>
          <w:bCs/>
        </w:rPr>
        <w:t xml:space="preserve">  </w:t>
      </w:r>
      <w:r>
        <w:rPr>
          <w:b/>
          <w:bCs/>
        </w:rPr>
        <w:t>Lost Time Performance</w:t>
      </w:r>
      <w:r w:rsidRPr="00676B73">
        <w:rPr>
          <w:b/>
          <w:bCs/>
        </w:rPr>
        <w:t xml:space="preserve"> </w:t>
      </w:r>
    </w:p>
    <w:p w14:paraId="6488ED51" w14:textId="77777777" w:rsidR="00BE4832" w:rsidRDefault="00BE4832" w:rsidP="00BE4832">
      <w:pPr>
        <w:pStyle w:val="BodyText"/>
        <w:kinsoku w:val="0"/>
        <w:overflowPunct w:val="0"/>
      </w:pPr>
    </w:p>
    <w:p w14:paraId="64195C22" w14:textId="51C8AB41" w:rsidR="00047F11" w:rsidRDefault="00047F11" w:rsidP="00047F11">
      <w:pPr>
        <w:pStyle w:val="BodyText"/>
        <w:kinsoku w:val="0"/>
        <w:overflowPunct w:val="0"/>
      </w:pPr>
      <w:r>
        <w:t xml:space="preserve">Figures 1 and 2 show rolling 12-month Lost Time Injury Frequency Rates (LTIFR) and Total Recordable Injury Frequency Rates (TRIFR) respectively for ACU overall, as well as each Portfolio.  </w:t>
      </w:r>
      <w:r w:rsidR="00B314B1">
        <w:t>Note that:</w:t>
      </w:r>
    </w:p>
    <w:p w14:paraId="3BF07B6A" w14:textId="77777777" w:rsidR="00047F11" w:rsidRDefault="00047F11" w:rsidP="00047F11">
      <w:pPr>
        <w:pStyle w:val="BodyText"/>
        <w:kinsoku w:val="0"/>
        <w:overflowPunct w:val="0"/>
      </w:pPr>
    </w:p>
    <w:p w14:paraId="13BB5D0A" w14:textId="77777777" w:rsidR="00047F11" w:rsidRDefault="00047F11" w:rsidP="00F20255">
      <w:pPr>
        <w:pStyle w:val="BodyText"/>
        <w:numPr>
          <w:ilvl w:val="0"/>
          <w:numId w:val="8"/>
        </w:numPr>
        <w:kinsoku w:val="0"/>
        <w:overflowPunct w:val="0"/>
        <w:ind w:left="426" w:hanging="284"/>
      </w:pPr>
      <w:r>
        <w:t>LTIFR is calculated by dividing the n</w:t>
      </w:r>
      <w:r w:rsidRPr="00AD10E1">
        <w:t>umber of lost time injuries</w:t>
      </w:r>
      <w:r>
        <w:t xml:space="preserve"> (where an employee sustains an injury or illness and they are unable to work their next scheduled shift) divided by the </w:t>
      </w:r>
      <w:r w:rsidRPr="00AD10E1">
        <w:t xml:space="preserve">total number of hours worked in the </w:t>
      </w:r>
      <w:r>
        <w:t>period, multiplied by a million.</w:t>
      </w:r>
    </w:p>
    <w:p w14:paraId="15ECFFB5" w14:textId="6AA85B58" w:rsidR="00047F11" w:rsidRDefault="00047F11" w:rsidP="00F20255">
      <w:pPr>
        <w:pStyle w:val="BodyText"/>
        <w:numPr>
          <w:ilvl w:val="0"/>
          <w:numId w:val="8"/>
        </w:numPr>
        <w:kinsoku w:val="0"/>
        <w:overflowPunct w:val="0"/>
        <w:ind w:left="426" w:hanging="284"/>
      </w:pPr>
      <w:r>
        <w:t>TRIFR is calculated by dividing the n</w:t>
      </w:r>
      <w:r w:rsidRPr="00AD10E1">
        <w:t>umber of lost time injuries</w:t>
      </w:r>
      <w:r>
        <w:t xml:space="preserve"> AND medical treatment injuries (i.e. an injury that is ‘beyond’ first aid and required intervention by a medical professional) injuries, divided by the </w:t>
      </w:r>
      <w:r w:rsidRPr="00AD10E1">
        <w:t xml:space="preserve">total number of hours worked in the </w:t>
      </w:r>
      <w:r>
        <w:t>period.</w:t>
      </w:r>
    </w:p>
    <w:p w14:paraId="401A89A3" w14:textId="77777777" w:rsidR="00047F11" w:rsidRDefault="00047F11" w:rsidP="00047F11">
      <w:pPr>
        <w:pStyle w:val="BodyText"/>
        <w:kinsoku w:val="0"/>
        <w:overflowPunct w:val="0"/>
      </w:pPr>
    </w:p>
    <w:p w14:paraId="551F059C" w14:textId="77777777" w:rsidR="00047F11" w:rsidRDefault="00047F11" w:rsidP="00047F11">
      <w:pPr>
        <w:pStyle w:val="BodyText"/>
        <w:kinsoku w:val="0"/>
        <w:overflowPunct w:val="0"/>
      </w:pPr>
      <w:r>
        <w:t xml:space="preserve">Lost time performance and related indicators should be used with caution and do not provide a definitive view as to overall safety performance.  They are best used in conjunction with a range of other lagging and leading safety indicators, such as those shown in Table 1, to provide a more comprehensive picture of WHS performance within a work area. </w:t>
      </w:r>
    </w:p>
    <w:p w14:paraId="222711E2" w14:textId="77777777" w:rsidR="00047F11" w:rsidRDefault="00047F11" w:rsidP="00047F11">
      <w:pPr>
        <w:pStyle w:val="BodyText"/>
        <w:kinsoku w:val="0"/>
        <w:overflowPunct w:val="0"/>
      </w:pPr>
    </w:p>
    <w:p w14:paraId="15839067" w14:textId="3A83FD5B" w:rsidR="00F32C9E" w:rsidRDefault="001A581E" w:rsidP="00CD61CA">
      <w:pPr>
        <w:pStyle w:val="BodyText"/>
        <w:kinsoku w:val="0"/>
        <w:overflowPunct w:val="0"/>
        <w:spacing w:before="6"/>
        <w:rPr>
          <w:b/>
          <w:bCs/>
        </w:rPr>
      </w:pPr>
      <w:r>
        <w:rPr>
          <w:b/>
          <w:bCs/>
        </w:rPr>
        <w:t>Figure</w:t>
      </w:r>
      <w:r w:rsidRPr="001A581E">
        <w:rPr>
          <w:b/>
          <w:bCs/>
        </w:rPr>
        <w:t xml:space="preserve"> 1 – LTIFR for ACU (Overall and Portfolios)</w:t>
      </w:r>
    </w:p>
    <w:p w14:paraId="06EA4689" w14:textId="77777777" w:rsidR="0047396E" w:rsidRPr="001A581E" w:rsidRDefault="0047396E" w:rsidP="00CD61CA">
      <w:pPr>
        <w:pStyle w:val="BodyText"/>
        <w:kinsoku w:val="0"/>
        <w:overflowPunct w:val="0"/>
        <w:spacing w:before="6"/>
        <w:rPr>
          <w:b/>
          <w:bCs/>
        </w:rPr>
      </w:pPr>
    </w:p>
    <w:p w14:paraId="1639F8B7" w14:textId="26CE497F" w:rsidR="001A581E" w:rsidRDefault="003C4D02" w:rsidP="00CD61CA">
      <w:pPr>
        <w:pStyle w:val="BodyText"/>
        <w:kinsoku w:val="0"/>
        <w:overflowPunct w:val="0"/>
        <w:spacing w:before="6"/>
      </w:pPr>
      <w:r>
        <w:rPr>
          <w:noProof/>
        </w:rPr>
        <w:drawing>
          <wp:inline distT="0" distB="0" distL="0" distR="0" wp14:anchorId="52E654FE" wp14:editId="3784F7A2">
            <wp:extent cx="6210300" cy="4157345"/>
            <wp:effectExtent l="0" t="0" r="0" b="0"/>
            <wp:docPr id="2126819441" name="Chart 1">
              <a:extLst xmlns:a="http://schemas.openxmlformats.org/drawingml/2006/main">
                <a:ext uri="{FF2B5EF4-FFF2-40B4-BE49-F238E27FC236}">
                  <a16:creationId xmlns:a16="http://schemas.microsoft.com/office/drawing/2014/main" id="{8F0D9F3B-DA3F-1BF7-78D9-D6D3BB280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9466E6" w14:textId="77777777" w:rsidR="001A581E" w:rsidRDefault="001A581E" w:rsidP="00CD61CA">
      <w:pPr>
        <w:pStyle w:val="BodyText"/>
        <w:kinsoku w:val="0"/>
        <w:overflowPunct w:val="0"/>
        <w:spacing w:before="6"/>
      </w:pPr>
    </w:p>
    <w:p w14:paraId="6152754B" w14:textId="77777777" w:rsidR="001A581E" w:rsidRDefault="001A581E" w:rsidP="00CD61CA">
      <w:pPr>
        <w:pStyle w:val="BodyText"/>
        <w:kinsoku w:val="0"/>
        <w:overflowPunct w:val="0"/>
        <w:spacing w:before="6"/>
      </w:pPr>
    </w:p>
    <w:p w14:paraId="51069067" w14:textId="145C4A64" w:rsidR="008C1927" w:rsidRPr="004E24C8" w:rsidRDefault="008C1927" w:rsidP="00CD61CA">
      <w:pPr>
        <w:pStyle w:val="BodyText"/>
        <w:kinsoku w:val="0"/>
        <w:overflowPunct w:val="0"/>
        <w:spacing w:before="6"/>
      </w:pPr>
      <w:r w:rsidRPr="004E24C8">
        <w:t>Notes to Figures 1 and 2:</w:t>
      </w:r>
    </w:p>
    <w:p w14:paraId="74F8C9D1" w14:textId="77777777" w:rsidR="008C1927" w:rsidRPr="004E24C8" w:rsidRDefault="008C1927" w:rsidP="00CD61CA">
      <w:pPr>
        <w:pStyle w:val="BodyText"/>
        <w:kinsoku w:val="0"/>
        <w:overflowPunct w:val="0"/>
        <w:spacing w:before="6"/>
      </w:pPr>
    </w:p>
    <w:p w14:paraId="06100166" w14:textId="339E8C1C" w:rsidR="008C1927" w:rsidRPr="004E24C8" w:rsidRDefault="008C1927" w:rsidP="00F20255">
      <w:pPr>
        <w:pStyle w:val="BodyText"/>
        <w:numPr>
          <w:ilvl w:val="0"/>
          <w:numId w:val="3"/>
        </w:numPr>
        <w:kinsoku w:val="0"/>
        <w:overflowPunct w:val="0"/>
        <w:spacing w:before="6"/>
        <w:ind w:left="426" w:hanging="284"/>
      </w:pPr>
      <w:r w:rsidRPr="004E24C8">
        <w:t>LTIFR is best viewed as a trend over time and over large employee populations.</w:t>
      </w:r>
    </w:p>
    <w:p w14:paraId="00C4ADEE" w14:textId="2ABBD1B1" w:rsidR="008C1927" w:rsidRPr="004E24C8" w:rsidRDefault="008C1927" w:rsidP="00F20255">
      <w:pPr>
        <w:pStyle w:val="BodyText"/>
        <w:numPr>
          <w:ilvl w:val="0"/>
          <w:numId w:val="3"/>
        </w:numPr>
        <w:kinsoku w:val="0"/>
        <w:overflowPunct w:val="0"/>
        <w:spacing w:before="6"/>
        <w:ind w:left="426" w:hanging="284"/>
      </w:pPr>
      <w:r w:rsidRPr="004E24C8">
        <w:t xml:space="preserve">Rolling 12-month data for any given month </w:t>
      </w:r>
      <w:proofErr w:type="gramStart"/>
      <w:r w:rsidRPr="004E24C8">
        <w:t>takes into account</w:t>
      </w:r>
      <w:proofErr w:type="gramEnd"/>
      <w:r w:rsidRPr="004E24C8">
        <w:t xml:space="preserve"> WHS performance for the current month as well as that over the preceding 11 months.</w:t>
      </w:r>
    </w:p>
    <w:p w14:paraId="767865D8" w14:textId="4C680811" w:rsidR="008C1927" w:rsidRPr="004E24C8" w:rsidRDefault="008C1927" w:rsidP="00F20255">
      <w:pPr>
        <w:pStyle w:val="BodyText"/>
        <w:numPr>
          <w:ilvl w:val="0"/>
          <w:numId w:val="3"/>
        </w:numPr>
        <w:kinsoku w:val="0"/>
        <w:overflowPunct w:val="0"/>
        <w:spacing w:before="6"/>
        <w:ind w:left="426" w:hanging="284"/>
      </w:pPr>
      <w:r w:rsidRPr="004E24C8">
        <w:t xml:space="preserve">As calculations are based on hours worked, </w:t>
      </w:r>
      <w:r w:rsidR="0038399A" w:rsidRPr="004E24C8">
        <w:t xml:space="preserve">a single lost time incident in a </w:t>
      </w:r>
      <w:r w:rsidRPr="004E24C8">
        <w:t xml:space="preserve">portfolio with considerably smaller numbers of staff </w:t>
      </w:r>
      <w:r w:rsidR="0038399A" w:rsidRPr="004E24C8">
        <w:t xml:space="preserve">can have a large </w:t>
      </w:r>
      <w:r w:rsidR="004E24C8">
        <w:t>relative</w:t>
      </w:r>
      <w:r w:rsidR="0038399A" w:rsidRPr="004E24C8">
        <w:t xml:space="preserve"> impact on LTIFR/TRIFR. </w:t>
      </w:r>
    </w:p>
    <w:p w14:paraId="67701CB8" w14:textId="77777777" w:rsidR="001A581E" w:rsidRDefault="001A581E" w:rsidP="00CD61CA">
      <w:pPr>
        <w:pStyle w:val="BodyText"/>
        <w:kinsoku w:val="0"/>
        <w:overflowPunct w:val="0"/>
        <w:spacing w:before="6"/>
      </w:pPr>
    </w:p>
    <w:p w14:paraId="134C2B52" w14:textId="77777777" w:rsidR="001A581E" w:rsidRDefault="001A581E">
      <w:pPr>
        <w:widowControl/>
        <w:autoSpaceDE/>
        <w:autoSpaceDN/>
        <w:adjustRightInd/>
        <w:rPr>
          <w:b/>
          <w:bCs/>
          <w:sz w:val="20"/>
          <w:szCs w:val="20"/>
        </w:rPr>
      </w:pPr>
      <w:r>
        <w:rPr>
          <w:b/>
          <w:bCs/>
        </w:rPr>
        <w:br w:type="page"/>
      </w:r>
    </w:p>
    <w:p w14:paraId="06D934FC" w14:textId="3E18A951" w:rsidR="001A581E" w:rsidRPr="001A581E" w:rsidRDefault="001A581E" w:rsidP="001A581E">
      <w:pPr>
        <w:pStyle w:val="BodyText"/>
        <w:kinsoku w:val="0"/>
        <w:overflowPunct w:val="0"/>
        <w:spacing w:before="6"/>
        <w:rPr>
          <w:b/>
          <w:bCs/>
        </w:rPr>
      </w:pPr>
      <w:r>
        <w:rPr>
          <w:b/>
          <w:bCs/>
        </w:rPr>
        <w:lastRenderedPageBreak/>
        <w:t>Figure</w:t>
      </w:r>
      <w:r w:rsidRPr="001A581E">
        <w:rPr>
          <w:b/>
          <w:bCs/>
        </w:rPr>
        <w:t xml:space="preserve"> </w:t>
      </w:r>
      <w:r>
        <w:rPr>
          <w:b/>
          <w:bCs/>
        </w:rPr>
        <w:t>2</w:t>
      </w:r>
      <w:r w:rsidRPr="001A581E">
        <w:rPr>
          <w:b/>
          <w:bCs/>
        </w:rPr>
        <w:t xml:space="preserve"> – </w:t>
      </w:r>
      <w:r>
        <w:rPr>
          <w:b/>
          <w:bCs/>
        </w:rPr>
        <w:t xml:space="preserve">TRIFR </w:t>
      </w:r>
      <w:r w:rsidRPr="001A581E">
        <w:rPr>
          <w:b/>
          <w:bCs/>
        </w:rPr>
        <w:t>for ACU (Overall and Portfolios)</w:t>
      </w:r>
    </w:p>
    <w:p w14:paraId="7EB3E4F3" w14:textId="77777777" w:rsidR="00390641" w:rsidRDefault="00390641" w:rsidP="00CD61CA">
      <w:pPr>
        <w:pStyle w:val="BodyText"/>
        <w:kinsoku w:val="0"/>
        <w:overflowPunct w:val="0"/>
        <w:spacing w:before="6"/>
      </w:pPr>
    </w:p>
    <w:p w14:paraId="37585254" w14:textId="2E36DECA" w:rsidR="00390641" w:rsidRDefault="00390641" w:rsidP="00F20255">
      <w:pPr>
        <w:pStyle w:val="BodyText"/>
        <w:tabs>
          <w:tab w:val="left" w:pos="426"/>
        </w:tabs>
        <w:kinsoku w:val="0"/>
        <w:overflowPunct w:val="0"/>
        <w:spacing w:before="6"/>
      </w:pPr>
      <w:r>
        <w:rPr>
          <w:noProof/>
        </w:rPr>
        <w:drawing>
          <wp:inline distT="0" distB="0" distL="0" distR="0" wp14:anchorId="0A0DC7EC" wp14:editId="75842815">
            <wp:extent cx="6210300" cy="3633470"/>
            <wp:effectExtent l="0" t="0" r="0" b="5080"/>
            <wp:docPr id="265046046" name="Chart 1">
              <a:extLst xmlns:a="http://schemas.openxmlformats.org/drawingml/2006/main">
                <a:ext uri="{FF2B5EF4-FFF2-40B4-BE49-F238E27FC236}">
                  <a16:creationId xmlns:a16="http://schemas.microsoft.com/office/drawing/2014/main" id="{98FD2AC1-8173-442D-8A77-B1E2563DA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CBF4BB" w14:textId="77777777" w:rsidR="001A581E" w:rsidRDefault="001A581E" w:rsidP="00CD61CA">
      <w:pPr>
        <w:pStyle w:val="BodyText"/>
        <w:kinsoku w:val="0"/>
        <w:overflowPunct w:val="0"/>
        <w:spacing w:before="6"/>
      </w:pPr>
    </w:p>
    <w:p w14:paraId="59D38E4E" w14:textId="77777777" w:rsidR="00F20255" w:rsidRDefault="00F20255" w:rsidP="00CD61CA">
      <w:pPr>
        <w:pStyle w:val="BodyText"/>
        <w:kinsoku w:val="0"/>
        <w:overflowPunct w:val="0"/>
        <w:spacing w:before="6"/>
      </w:pPr>
    </w:p>
    <w:p w14:paraId="07257B66" w14:textId="1B764898" w:rsidR="001A581E" w:rsidRPr="000D603E" w:rsidRDefault="0035061A" w:rsidP="0035061A">
      <w:pPr>
        <w:pStyle w:val="BodyText"/>
        <w:kinsoku w:val="0"/>
        <w:overflowPunct w:val="0"/>
        <w:spacing w:before="6"/>
        <w:rPr>
          <w:b/>
          <w:bCs/>
        </w:rPr>
      </w:pPr>
      <w:r w:rsidRPr="0035061A">
        <w:rPr>
          <w:b/>
          <w:bCs/>
        </w:rPr>
        <w:t>2.4</w:t>
      </w:r>
      <w:r>
        <w:t xml:space="preserve"> </w:t>
      </w:r>
      <w:r w:rsidR="00F20255">
        <w:t xml:space="preserve">   </w:t>
      </w:r>
      <w:r w:rsidR="000D603E" w:rsidRPr="000D603E">
        <w:rPr>
          <w:b/>
          <w:bCs/>
        </w:rPr>
        <w:t xml:space="preserve">WHS Performance Commentary </w:t>
      </w:r>
    </w:p>
    <w:p w14:paraId="4501994C" w14:textId="77777777" w:rsidR="000D603E" w:rsidRDefault="000D603E" w:rsidP="007079D3">
      <w:pPr>
        <w:pStyle w:val="BodyText"/>
        <w:kinsoku w:val="0"/>
        <w:overflowPunct w:val="0"/>
        <w:spacing w:before="6"/>
      </w:pPr>
    </w:p>
    <w:p w14:paraId="754C1E54" w14:textId="3D36B01F" w:rsidR="007079D3" w:rsidRDefault="007079D3" w:rsidP="007079D3">
      <w:pPr>
        <w:pStyle w:val="BodyText"/>
        <w:kinsoku w:val="0"/>
        <w:overflowPunct w:val="0"/>
        <w:spacing w:before="6"/>
      </w:pPr>
      <w:r>
        <w:t xml:space="preserve">In reviewing and comparing </w:t>
      </w:r>
      <w:r w:rsidR="00047F11">
        <w:t xml:space="preserve">data for </w:t>
      </w:r>
      <w:r>
        <w:t xml:space="preserve">Quarter </w:t>
      </w:r>
      <w:r w:rsidR="00EF7165">
        <w:t>4</w:t>
      </w:r>
      <w:r w:rsidR="00047F11">
        <w:t xml:space="preserve"> against the previous </w:t>
      </w:r>
      <w:r w:rsidR="00A45593">
        <w:t>period</w:t>
      </w:r>
      <w:r w:rsidR="00047F11">
        <w:t>,</w:t>
      </w:r>
      <w:r>
        <w:t xml:space="preserve"> the following </w:t>
      </w:r>
      <w:r w:rsidR="00047F11">
        <w:t>observations are made:</w:t>
      </w:r>
    </w:p>
    <w:p w14:paraId="2845A884" w14:textId="77777777" w:rsidR="00047F11" w:rsidRDefault="00047F11" w:rsidP="007079D3">
      <w:pPr>
        <w:pStyle w:val="BodyText"/>
        <w:kinsoku w:val="0"/>
        <w:overflowPunct w:val="0"/>
        <w:spacing w:before="6"/>
      </w:pPr>
    </w:p>
    <w:p w14:paraId="22D7C560" w14:textId="7A5BB714" w:rsidR="002C3301" w:rsidRDefault="002C3301" w:rsidP="00F20255">
      <w:pPr>
        <w:pStyle w:val="BodyText"/>
        <w:numPr>
          <w:ilvl w:val="0"/>
          <w:numId w:val="4"/>
        </w:numPr>
        <w:kinsoku w:val="0"/>
        <w:overflowPunct w:val="0"/>
        <w:spacing w:before="6"/>
        <w:ind w:left="426" w:hanging="284"/>
      </w:pPr>
      <w:r>
        <w:t>Overall, the Q</w:t>
      </w:r>
      <w:r w:rsidR="007844B3">
        <w:t xml:space="preserve">uarter </w:t>
      </w:r>
      <w:r>
        <w:t>4 performance has seen some improvement from Q</w:t>
      </w:r>
      <w:r w:rsidR="00F32C52">
        <w:t xml:space="preserve">uarter </w:t>
      </w:r>
      <w:r w:rsidR="0009265D">
        <w:t>3</w:t>
      </w:r>
      <w:r>
        <w:t xml:space="preserve"> with less lost time injuries being recorded and less workers compensation claims being lodged. </w:t>
      </w:r>
    </w:p>
    <w:p w14:paraId="42C32FA0" w14:textId="4CF1EACA" w:rsidR="007079D3" w:rsidRDefault="007079D3" w:rsidP="00F20255">
      <w:pPr>
        <w:pStyle w:val="BodyText"/>
        <w:numPr>
          <w:ilvl w:val="0"/>
          <w:numId w:val="4"/>
        </w:numPr>
        <w:kinsoku w:val="0"/>
        <w:overflowPunct w:val="0"/>
        <w:spacing w:before="6"/>
        <w:ind w:left="426" w:hanging="284"/>
      </w:pPr>
      <w:r>
        <w:t xml:space="preserve">At the end of Quarter </w:t>
      </w:r>
      <w:r w:rsidR="006B44FA">
        <w:t>3</w:t>
      </w:r>
      <w:r>
        <w:t xml:space="preserve">, the ACU Overall LTIFR was </w:t>
      </w:r>
      <w:r w:rsidR="006B44FA">
        <w:t>3.26</w:t>
      </w:r>
      <w:r>
        <w:t xml:space="preserve">, </w:t>
      </w:r>
      <w:r w:rsidR="0009265D">
        <w:t xml:space="preserve">whilst </w:t>
      </w:r>
      <w:r>
        <w:t xml:space="preserve">at the end of </w:t>
      </w:r>
      <w:r w:rsidR="00047F11">
        <w:t>Q</w:t>
      </w:r>
      <w:r>
        <w:t xml:space="preserve">uarter </w:t>
      </w:r>
      <w:r w:rsidR="006B44FA">
        <w:t>4</w:t>
      </w:r>
      <w:r>
        <w:t xml:space="preserve"> this has</w:t>
      </w:r>
      <w:r w:rsidR="006B44FA">
        <w:t xml:space="preserve"> only slightly</w:t>
      </w:r>
      <w:r>
        <w:t xml:space="preserve"> increased </w:t>
      </w:r>
      <w:r w:rsidR="006B44FA">
        <w:t>to 3.27</w:t>
      </w:r>
      <w:r w:rsidR="00602B94">
        <w:t>.</w:t>
      </w:r>
    </w:p>
    <w:p w14:paraId="06D3AC6C" w14:textId="705AB2C6" w:rsidR="007079D3" w:rsidRDefault="0009265D" w:rsidP="00F20255">
      <w:pPr>
        <w:pStyle w:val="BodyText"/>
        <w:numPr>
          <w:ilvl w:val="0"/>
          <w:numId w:val="4"/>
        </w:numPr>
        <w:kinsoku w:val="0"/>
        <w:overflowPunct w:val="0"/>
        <w:spacing w:before="6"/>
        <w:ind w:left="426" w:hanging="284"/>
      </w:pPr>
      <w:r>
        <w:t>A</w:t>
      </w:r>
      <w:r w:rsidR="007079D3">
        <w:t xml:space="preserve">t the end of Quarter </w:t>
      </w:r>
      <w:r w:rsidR="006B44FA">
        <w:t>3</w:t>
      </w:r>
      <w:r w:rsidR="007079D3">
        <w:t xml:space="preserve">, the ACU overall TRIF was </w:t>
      </w:r>
      <w:r w:rsidR="006B44FA">
        <w:t>7.11</w:t>
      </w:r>
      <w:r w:rsidR="007079D3">
        <w:t xml:space="preserve">, </w:t>
      </w:r>
      <w:r>
        <w:t xml:space="preserve">whilst </w:t>
      </w:r>
      <w:r w:rsidR="007079D3">
        <w:t xml:space="preserve">at the end of </w:t>
      </w:r>
      <w:r w:rsidR="00A45593">
        <w:t>Q</w:t>
      </w:r>
      <w:r w:rsidR="007079D3">
        <w:t xml:space="preserve">uarter </w:t>
      </w:r>
      <w:r w:rsidR="006B44FA">
        <w:t>4</w:t>
      </w:r>
      <w:r w:rsidR="007079D3">
        <w:t xml:space="preserve"> this has </w:t>
      </w:r>
      <w:r w:rsidR="006B44FA">
        <w:t>reduced</w:t>
      </w:r>
      <w:r>
        <w:t xml:space="preserve"> slightly</w:t>
      </w:r>
      <w:r w:rsidR="006B44FA">
        <w:t xml:space="preserve"> to 6.24. </w:t>
      </w:r>
      <w:r w:rsidR="007079D3">
        <w:t xml:space="preserve"> </w:t>
      </w:r>
    </w:p>
    <w:p w14:paraId="752263A2" w14:textId="563FD35E" w:rsidR="007079D3" w:rsidRDefault="007079D3" w:rsidP="00F20255">
      <w:pPr>
        <w:pStyle w:val="BodyText"/>
        <w:numPr>
          <w:ilvl w:val="0"/>
          <w:numId w:val="4"/>
        </w:numPr>
        <w:kinsoku w:val="0"/>
        <w:overflowPunct w:val="0"/>
        <w:spacing w:before="6"/>
        <w:ind w:left="426" w:hanging="284"/>
      </w:pPr>
      <w:r>
        <w:t xml:space="preserve">In Quarter </w:t>
      </w:r>
      <w:r w:rsidR="006B44FA">
        <w:t>4</w:t>
      </w:r>
      <w:r w:rsidR="00A45593">
        <w:t>,</w:t>
      </w:r>
      <w:r>
        <w:t xml:space="preserve"> </w:t>
      </w:r>
      <w:r w:rsidR="006B44FA">
        <w:t>5</w:t>
      </w:r>
      <w:r>
        <w:t xml:space="preserve"> workers compensation claims were lodged</w:t>
      </w:r>
      <w:r w:rsidR="00A45593">
        <w:t xml:space="preserve">: </w:t>
      </w:r>
      <w:r w:rsidR="006B44FA">
        <w:t xml:space="preserve">1 was for a psychological injury, the remaining 4 were lodged for physical injuries. </w:t>
      </w:r>
    </w:p>
    <w:p w14:paraId="743DA875" w14:textId="72C47FC7" w:rsidR="005C5B4D" w:rsidRDefault="005C5B4D" w:rsidP="00DB20AD">
      <w:pPr>
        <w:pStyle w:val="BodyText"/>
        <w:kinsoku w:val="0"/>
        <w:overflowPunct w:val="0"/>
      </w:pPr>
    </w:p>
    <w:p w14:paraId="18B68665" w14:textId="77777777" w:rsidR="000D603E" w:rsidRPr="000739D3" w:rsidRDefault="000D603E" w:rsidP="00CD61CA">
      <w:pPr>
        <w:pStyle w:val="BodyText"/>
        <w:kinsoku w:val="0"/>
        <w:overflowPunct w:val="0"/>
        <w:spacing w:before="6"/>
      </w:pPr>
    </w:p>
    <w:p w14:paraId="59CBE420" w14:textId="3D9C4F0A" w:rsidR="004B72B8" w:rsidRDefault="000739D3" w:rsidP="00F20255">
      <w:pPr>
        <w:pStyle w:val="Heading1"/>
        <w:numPr>
          <w:ilvl w:val="0"/>
          <w:numId w:val="1"/>
        </w:numPr>
        <w:tabs>
          <w:tab w:val="left" w:pos="567"/>
          <w:tab w:val="left" w:pos="1134"/>
        </w:tabs>
        <w:kinsoku w:val="0"/>
        <w:overflowPunct w:val="0"/>
        <w:spacing w:before="1"/>
        <w:ind w:hanging="466"/>
        <w:rPr>
          <w:color w:val="3E1B59"/>
        </w:rPr>
      </w:pPr>
      <w:r>
        <w:rPr>
          <w:color w:val="3E1B59"/>
        </w:rPr>
        <w:t xml:space="preserve">WHS </w:t>
      </w:r>
      <w:r w:rsidR="007B6578">
        <w:rPr>
          <w:color w:val="3E1B59"/>
        </w:rPr>
        <w:t>Achievements</w:t>
      </w:r>
    </w:p>
    <w:p w14:paraId="5CF72D13" w14:textId="11891A95" w:rsidR="00085680" w:rsidRPr="00F20255" w:rsidRDefault="00085680" w:rsidP="00085680">
      <w:pPr>
        <w:rPr>
          <w:sz w:val="20"/>
          <w:szCs w:val="20"/>
        </w:rPr>
      </w:pPr>
    </w:p>
    <w:p w14:paraId="52E59706" w14:textId="2FD64D2E" w:rsidR="00047F11" w:rsidRDefault="00047F11" w:rsidP="00F20255">
      <w:pPr>
        <w:rPr>
          <w:sz w:val="20"/>
          <w:szCs w:val="20"/>
        </w:rPr>
      </w:pPr>
      <w:r>
        <w:rPr>
          <w:sz w:val="20"/>
          <w:szCs w:val="20"/>
        </w:rPr>
        <w:t xml:space="preserve">WHS achievements </w:t>
      </w:r>
      <w:r w:rsidR="0009265D">
        <w:rPr>
          <w:sz w:val="20"/>
          <w:szCs w:val="20"/>
        </w:rPr>
        <w:t xml:space="preserve">for the quarter </w:t>
      </w:r>
      <w:r>
        <w:rPr>
          <w:sz w:val="20"/>
          <w:szCs w:val="20"/>
        </w:rPr>
        <w:t>are highlighted below:</w:t>
      </w:r>
    </w:p>
    <w:p w14:paraId="610098F8" w14:textId="77777777" w:rsidR="002C3301" w:rsidRDefault="002C3301" w:rsidP="00F20255">
      <w:pPr>
        <w:rPr>
          <w:sz w:val="20"/>
          <w:szCs w:val="20"/>
        </w:rPr>
      </w:pPr>
    </w:p>
    <w:p w14:paraId="6EF95182" w14:textId="77777777" w:rsidR="002C3301" w:rsidRPr="000D3C24" w:rsidRDefault="002C3301" w:rsidP="00F20255">
      <w:pPr>
        <w:pStyle w:val="ListParagraph"/>
        <w:numPr>
          <w:ilvl w:val="0"/>
          <w:numId w:val="5"/>
        </w:numPr>
        <w:spacing w:line="280" w:lineRule="exact"/>
        <w:ind w:left="426" w:hanging="284"/>
        <w:rPr>
          <w:sz w:val="20"/>
          <w:szCs w:val="20"/>
        </w:rPr>
      </w:pPr>
      <w:r w:rsidRPr="000D3C24">
        <w:rPr>
          <w:b/>
          <w:bCs/>
          <w:sz w:val="20"/>
          <w:szCs w:val="20"/>
        </w:rPr>
        <w:t>ACU Staff/Student Mental Wellbeing Strategy</w:t>
      </w:r>
      <w:r w:rsidRPr="000D3C24">
        <w:rPr>
          <w:sz w:val="20"/>
          <w:szCs w:val="20"/>
        </w:rPr>
        <w:t xml:space="preserve"> - Initial discussions have commenced internally and externally around consulting support for the development of an ACU Staff/Student Mental Wellbeing Strategy in 2024.  A VCAC paper is proposed.</w:t>
      </w:r>
    </w:p>
    <w:p w14:paraId="6DB8EC3F" w14:textId="3EBB2DD4" w:rsidR="002C3301" w:rsidRPr="009C5CB9" w:rsidRDefault="002C3301" w:rsidP="00F20255">
      <w:pPr>
        <w:pStyle w:val="ListParagraph"/>
        <w:numPr>
          <w:ilvl w:val="0"/>
          <w:numId w:val="5"/>
        </w:numPr>
        <w:spacing w:line="280" w:lineRule="exact"/>
        <w:ind w:left="426" w:hanging="284"/>
        <w:rPr>
          <w:sz w:val="20"/>
          <w:szCs w:val="20"/>
        </w:rPr>
      </w:pPr>
      <w:r w:rsidRPr="009C5CB9">
        <w:rPr>
          <w:b/>
          <w:bCs/>
          <w:sz w:val="20"/>
          <w:szCs w:val="20"/>
        </w:rPr>
        <w:t>Enabling our Future Support</w:t>
      </w:r>
      <w:r>
        <w:rPr>
          <w:sz w:val="20"/>
          <w:szCs w:val="20"/>
        </w:rPr>
        <w:t xml:space="preserve"> - </w:t>
      </w:r>
      <w:r w:rsidRPr="009C5CB9">
        <w:rPr>
          <w:sz w:val="20"/>
          <w:szCs w:val="20"/>
        </w:rPr>
        <w:t xml:space="preserve">Support for staff impacted by the Enabling our Future changes continued to be provided. </w:t>
      </w:r>
      <w:r w:rsidR="00E76932">
        <w:rPr>
          <w:sz w:val="20"/>
          <w:szCs w:val="20"/>
        </w:rPr>
        <w:t>Three</w:t>
      </w:r>
      <w:r w:rsidRPr="009C5CB9">
        <w:rPr>
          <w:sz w:val="20"/>
          <w:szCs w:val="20"/>
        </w:rPr>
        <w:t xml:space="preserve"> additional EAP-led Self Care through Change live sessions </w:t>
      </w:r>
      <w:r w:rsidR="0009265D">
        <w:rPr>
          <w:sz w:val="20"/>
          <w:szCs w:val="20"/>
        </w:rPr>
        <w:t xml:space="preserve">took place </w:t>
      </w:r>
      <w:r w:rsidRPr="009C5CB9">
        <w:rPr>
          <w:sz w:val="20"/>
          <w:szCs w:val="20"/>
        </w:rPr>
        <w:t xml:space="preserve">in November and December and R </w:t>
      </w:r>
      <w:proofErr w:type="gramStart"/>
      <w:r w:rsidRPr="009C5CB9">
        <w:rPr>
          <w:sz w:val="20"/>
          <w:szCs w:val="20"/>
        </w:rPr>
        <w:t>U</w:t>
      </w:r>
      <w:proofErr w:type="gramEnd"/>
      <w:r w:rsidRPr="009C5CB9">
        <w:rPr>
          <w:sz w:val="20"/>
          <w:szCs w:val="20"/>
        </w:rPr>
        <w:t xml:space="preserve"> OK? and Accidental Counsellor on-demand webinars were also extended until 31</w:t>
      </w:r>
      <w:r w:rsidR="00E76932">
        <w:rPr>
          <w:sz w:val="20"/>
          <w:szCs w:val="20"/>
        </w:rPr>
        <w:t xml:space="preserve"> December 2023</w:t>
      </w:r>
      <w:r w:rsidRPr="009C5CB9">
        <w:rPr>
          <w:sz w:val="20"/>
          <w:szCs w:val="20"/>
        </w:rPr>
        <w:t>.</w:t>
      </w:r>
    </w:p>
    <w:p w14:paraId="6A4C2F2F" w14:textId="0BCBDE3C" w:rsidR="002C3301" w:rsidRDefault="002C3301" w:rsidP="00F20255">
      <w:pPr>
        <w:pStyle w:val="ListParagraph"/>
        <w:numPr>
          <w:ilvl w:val="0"/>
          <w:numId w:val="5"/>
        </w:numPr>
        <w:spacing w:line="280" w:lineRule="exact"/>
        <w:ind w:left="426" w:hanging="284"/>
        <w:rPr>
          <w:sz w:val="20"/>
          <w:szCs w:val="20"/>
        </w:rPr>
      </w:pPr>
      <w:r w:rsidRPr="005058DB">
        <w:rPr>
          <w:b/>
          <w:bCs/>
          <w:sz w:val="20"/>
          <w:szCs w:val="20"/>
        </w:rPr>
        <w:t>New EAP Provider</w:t>
      </w:r>
      <w:r>
        <w:rPr>
          <w:sz w:val="20"/>
          <w:szCs w:val="20"/>
        </w:rPr>
        <w:t xml:space="preserve"> - </w:t>
      </w:r>
      <w:r w:rsidRPr="005058DB">
        <w:rPr>
          <w:sz w:val="20"/>
          <w:szCs w:val="20"/>
        </w:rPr>
        <w:t xml:space="preserve">Acacia EAP was selected as the new EAP provider for ACU for 2024-2026 </w:t>
      </w:r>
      <w:r w:rsidR="0009265D">
        <w:rPr>
          <w:sz w:val="20"/>
          <w:szCs w:val="20"/>
        </w:rPr>
        <w:t>following</w:t>
      </w:r>
      <w:r w:rsidR="0009265D" w:rsidRPr="005058DB">
        <w:rPr>
          <w:sz w:val="20"/>
          <w:szCs w:val="20"/>
        </w:rPr>
        <w:t xml:space="preserve"> </w:t>
      </w:r>
      <w:r w:rsidRPr="005058DB">
        <w:rPr>
          <w:sz w:val="20"/>
          <w:szCs w:val="20"/>
        </w:rPr>
        <w:t xml:space="preserve">a competitive tender process. Transitioning from the current provider </w:t>
      </w:r>
      <w:r w:rsidR="00E11AC0">
        <w:rPr>
          <w:sz w:val="20"/>
          <w:szCs w:val="20"/>
        </w:rPr>
        <w:t xml:space="preserve">and </w:t>
      </w:r>
      <w:r w:rsidRPr="005058DB">
        <w:rPr>
          <w:sz w:val="20"/>
          <w:szCs w:val="20"/>
        </w:rPr>
        <w:t>into the new provider is currently underway</w:t>
      </w:r>
      <w:r w:rsidR="0009265D">
        <w:rPr>
          <w:sz w:val="20"/>
          <w:szCs w:val="20"/>
        </w:rPr>
        <w:t>. Initial</w:t>
      </w:r>
      <w:r w:rsidR="0009265D" w:rsidRPr="005058DB">
        <w:rPr>
          <w:sz w:val="20"/>
          <w:szCs w:val="20"/>
        </w:rPr>
        <w:t xml:space="preserve"> </w:t>
      </w:r>
      <w:r w:rsidRPr="005058DB">
        <w:rPr>
          <w:sz w:val="20"/>
          <w:szCs w:val="20"/>
        </w:rPr>
        <w:t>staff communication</w:t>
      </w:r>
      <w:r>
        <w:rPr>
          <w:sz w:val="20"/>
          <w:szCs w:val="20"/>
        </w:rPr>
        <w:t>s</w:t>
      </w:r>
      <w:r w:rsidRPr="005058DB">
        <w:rPr>
          <w:sz w:val="20"/>
          <w:szCs w:val="20"/>
        </w:rPr>
        <w:t xml:space="preserve"> as to the </w:t>
      </w:r>
      <w:r>
        <w:rPr>
          <w:sz w:val="20"/>
          <w:szCs w:val="20"/>
        </w:rPr>
        <w:t xml:space="preserve">transition </w:t>
      </w:r>
      <w:r w:rsidRPr="005058DB">
        <w:rPr>
          <w:sz w:val="20"/>
          <w:szCs w:val="20"/>
        </w:rPr>
        <w:t xml:space="preserve">arrangements </w:t>
      </w:r>
      <w:r w:rsidR="00602B94" w:rsidRPr="005058DB">
        <w:rPr>
          <w:sz w:val="20"/>
          <w:szCs w:val="20"/>
        </w:rPr>
        <w:t>occur</w:t>
      </w:r>
      <w:r w:rsidR="00602B94">
        <w:rPr>
          <w:sz w:val="20"/>
          <w:szCs w:val="20"/>
        </w:rPr>
        <w:t>red</w:t>
      </w:r>
      <w:r w:rsidRPr="005058DB">
        <w:rPr>
          <w:sz w:val="20"/>
          <w:szCs w:val="20"/>
        </w:rPr>
        <w:t xml:space="preserve"> in December 2023</w:t>
      </w:r>
      <w:r>
        <w:rPr>
          <w:sz w:val="20"/>
          <w:szCs w:val="20"/>
        </w:rPr>
        <w:t xml:space="preserve"> with a full launch </w:t>
      </w:r>
      <w:r w:rsidR="0009265D">
        <w:rPr>
          <w:sz w:val="20"/>
          <w:szCs w:val="20"/>
        </w:rPr>
        <w:t>planned i</w:t>
      </w:r>
      <w:r>
        <w:rPr>
          <w:sz w:val="20"/>
          <w:szCs w:val="20"/>
        </w:rPr>
        <w:t>n Q</w:t>
      </w:r>
      <w:r w:rsidR="00DF4526">
        <w:rPr>
          <w:sz w:val="20"/>
          <w:szCs w:val="20"/>
        </w:rPr>
        <w:t xml:space="preserve">uarter </w:t>
      </w:r>
      <w:r>
        <w:rPr>
          <w:sz w:val="20"/>
          <w:szCs w:val="20"/>
        </w:rPr>
        <w:t>1 2024</w:t>
      </w:r>
      <w:r w:rsidRPr="005058DB">
        <w:rPr>
          <w:sz w:val="20"/>
          <w:szCs w:val="20"/>
        </w:rPr>
        <w:t xml:space="preserve">. Ensuring continuity of care for ACU staff members seeing a clinician with the existing provider at the time the </w:t>
      </w:r>
      <w:r w:rsidR="00602B94">
        <w:rPr>
          <w:sz w:val="20"/>
          <w:szCs w:val="20"/>
        </w:rPr>
        <w:t xml:space="preserve">previous </w:t>
      </w:r>
      <w:r w:rsidRPr="005058DB">
        <w:rPr>
          <w:sz w:val="20"/>
          <w:szCs w:val="20"/>
        </w:rPr>
        <w:t>contract end</w:t>
      </w:r>
      <w:r w:rsidR="00602B94">
        <w:rPr>
          <w:sz w:val="20"/>
          <w:szCs w:val="20"/>
        </w:rPr>
        <w:t>ed</w:t>
      </w:r>
      <w:r w:rsidRPr="005058DB">
        <w:rPr>
          <w:sz w:val="20"/>
          <w:szCs w:val="20"/>
        </w:rPr>
        <w:t xml:space="preserve"> </w:t>
      </w:r>
      <w:r w:rsidR="00602B94">
        <w:rPr>
          <w:sz w:val="20"/>
          <w:szCs w:val="20"/>
        </w:rPr>
        <w:t xml:space="preserve">remains </w:t>
      </w:r>
      <w:r w:rsidRPr="005058DB">
        <w:rPr>
          <w:sz w:val="20"/>
          <w:szCs w:val="20"/>
        </w:rPr>
        <w:t xml:space="preserve">a key consideration. </w:t>
      </w:r>
    </w:p>
    <w:p w14:paraId="07BB197C" w14:textId="579BF201" w:rsidR="002C3301" w:rsidRPr="00102657" w:rsidRDefault="002C3301" w:rsidP="00F20255">
      <w:pPr>
        <w:pStyle w:val="ListParagraph"/>
        <w:numPr>
          <w:ilvl w:val="0"/>
          <w:numId w:val="5"/>
        </w:numPr>
        <w:spacing w:line="280" w:lineRule="exact"/>
        <w:ind w:left="426" w:hanging="284"/>
        <w:rPr>
          <w:sz w:val="20"/>
          <w:szCs w:val="20"/>
        </w:rPr>
      </w:pPr>
      <w:r w:rsidRPr="00102657">
        <w:rPr>
          <w:b/>
          <w:bCs/>
          <w:sz w:val="20"/>
          <w:szCs w:val="20"/>
        </w:rPr>
        <w:t>Occupational First Aid</w:t>
      </w:r>
      <w:r>
        <w:rPr>
          <w:sz w:val="20"/>
          <w:szCs w:val="20"/>
        </w:rPr>
        <w:t xml:space="preserve"> - </w:t>
      </w:r>
      <w:r w:rsidRPr="00466C46">
        <w:rPr>
          <w:sz w:val="20"/>
          <w:szCs w:val="20"/>
        </w:rPr>
        <w:t>One</w:t>
      </w:r>
      <w:r w:rsidRPr="00102657">
        <w:rPr>
          <w:sz w:val="20"/>
          <w:szCs w:val="20"/>
        </w:rPr>
        <w:t xml:space="preserve"> Safety </w:t>
      </w:r>
      <w:r w:rsidR="00211496">
        <w:rPr>
          <w:sz w:val="20"/>
          <w:szCs w:val="20"/>
        </w:rPr>
        <w:t>and</w:t>
      </w:r>
      <w:r w:rsidRPr="00102657">
        <w:rPr>
          <w:sz w:val="20"/>
          <w:szCs w:val="20"/>
        </w:rPr>
        <w:t xml:space="preserve"> Wellbeing team member completed the Occupational First Aid Course, becoming the first accredited first aider of this type within ACU. As a result</w:t>
      </w:r>
      <w:r>
        <w:rPr>
          <w:sz w:val="20"/>
          <w:szCs w:val="20"/>
        </w:rPr>
        <w:t>,</w:t>
      </w:r>
      <w:r w:rsidRPr="00102657">
        <w:rPr>
          <w:sz w:val="20"/>
          <w:szCs w:val="20"/>
        </w:rPr>
        <w:t xml:space="preserve"> they will be better able to </w:t>
      </w:r>
      <w:r w:rsidRPr="00102657">
        <w:rPr>
          <w:sz w:val="20"/>
          <w:szCs w:val="20"/>
        </w:rPr>
        <w:lastRenderedPageBreak/>
        <w:t>support the first-aider network across ACU and advise on advanced first aid techniques.</w:t>
      </w:r>
    </w:p>
    <w:p w14:paraId="2FCD63BE" w14:textId="6CFD1F91" w:rsidR="002C3301" w:rsidRPr="009C5CB9" w:rsidRDefault="002C3301" w:rsidP="00F20255">
      <w:pPr>
        <w:pStyle w:val="ListParagraph"/>
        <w:numPr>
          <w:ilvl w:val="0"/>
          <w:numId w:val="5"/>
        </w:numPr>
        <w:spacing w:line="280" w:lineRule="exact"/>
        <w:ind w:left="426" w:hanging="284"/>
        <w:rPr>
          <w:sz w:val="20"/>
          <w:szCs w:val="20"/>
        </w:rPr>
      </w:pPr>
      <w:r>
        <w:rPr>
          <w:b/>
          <w:bCs/>
          <w:sz w:val="20"/>
          <w:szCs w:val="20"/>
        </w:rPr>
        <w:t>“</w:t>
      </w:r>
      <w:r w:rsidRPr="009C5CB9">
        <w:rPr>
          <w:b/>
          <w:bCs/>
          <w:sz w:val="20"/>
          <w:szCs w:val="20"/>
        </w:rPr>
        <w:t xml:space="preserve">People at Work” psychosocial hazards survey </w:t>
      </w:r>
      <w:r>
        <w:rPr>
          <w:sz w:val="20"/>
          <w:szCs w:val="20"/>
        </w:rPr>
        <w:t xml:space="preserve">- </w:t>
      </w:r>
      <w:r w:rsidRPr="009C5CB9">
        <w:rPr>
          <w:sz w:val="20"/>
          <w:szCs w:val="20"/>
        </w:rPr>
        <w:t>The SafeWork Australia sponsored “People at Work” psychosocial hazards survey was launched within P</w:t>
      </w:r>
      <w:r w:rsidR="007222D1">
        <w:rPr>
          <w:sz w:val="20"/>
          <w:szCs w:val="20"/>
        </w:rPr>
        <w:t xml:space="preserve">eople and </w:t>
      </w:r>
      <w:r w:rsidRPr="009C5CB9">
        <w:rPr>
          <w:sz w:val="20"/>
          <w:szCs w:val="20"/>
        </w:rPr>
        <w:t>C</w:t>
      </w:r>
      <w:r w:rsidR="007222D1">
        <w:rPr>
          <w:sz w:val="20"/>
          <w:szCs w:val="20"/>
        </w:rPr>
        <w:t>apability</w:t>
      </w:r>
      <w:r w:rsidRPr="009C5CB9">
        <w:rPr>
          <w:sz w:val="20"/>
          <w:szCs w:val="20"/>
        </w:rPr>
        <w:t xml:space="preserve"> </w:t>
      </w:r>
      <w:r w:rsidR="007222D1">
        <w:rPr>
          <w:sz w:val="20"/>
          <w:szCs w:val="20"/>
        </w:rPr>
        <w:t>(P</w:t>
      </w:r>
      <w:r w:rsidR="009973C9">
        <w:rPr>
          <w:sz w:val="20"/>
          <w:szCs w:val="20"/>
        </w:rPr>
        <w:t xml:space="preserve">&amp;C) </w:t>
      </w:r>
      <w:r w:rsidRPr="009C5CB9">
        <w:rPr>
          <w:sz w:val="20"/>
          <w:szCs w:val="20"/>
        </w:rPr>
        <w:t>in October and closed November</w:t>
      </w:r>
      <w:r w:rsidR="00602B94">
        <w:rPr>
          <w:sz w:val="20"/>
          <w:szCs w:val="20"/>
        </w:rPr>
        <w:t xml:space="preserve"> 2023</w:t>
      </w:r>
      <w:r w:rsidRPr="009C5CB9">
        <w:rPr>
          <w:sz w:val="20"/>
          <w:szCs w:val="20"/>
        </w:rPr>
        <w:t>. Results will be reviewed by the P</w:t>
      </w:r>
      <w:r w:rsidR="009973C9">
        <w:rPr>
          <w:sz w:val="20"/>
          <w:szCs w:val="20"/>
        </w:rPr>
        <w:t>&amp;C</w:t>
      </w:r>
      <w:r w:rsidRPr="009C5CB9">
        <w:rPr>
          <w:sz w:val="20"/>
          <w:szCs w:val="20"/>
        </w:rPr>
        <w:t xml:space="preserve"> Executive prior to conducting focus groups within P&amp;C to consider the results, suggested actions and the process overall, with a view to a wider roll-out across ACU in 2024. </w:t>
      </w:r>
    </w:p>
    <w:p w14:paraId="7578449D" w14:textId="60F7733A" w:rsidR="002C3301" w:rsidRDefault="002C3301" w:rsidP="00F20255">
      <w:pPr>
        <w:pStyle w:val="ListParagraph"/>
        <w:numPr>
          <w:ilvl w:val="0"/>
          <w:numId w:val="5"/>
        </w:numPr>
        <w:spacing w:line="280" w:lineRule="exact"/>
        <w:ind w:left="426" w:hanging="284"/>
        <w:rPr>
          <w:sz w:val="20"/>
          <w:szCs w:val="20"/>
        </w:rPr>
      </w:pPr>
      <w:r w:rsidRPr="00D90CED">
        <w:rPr>
          <w:b/>
          <w:bCs/>
          <w:sz w:val="20"/>
          <w:szCs w:val="20"/>
        </w:rPr>
        <w:t>Riskware Upgrade</w:t>
      </w:r>
      <w:r>
        <w:rPr>
          <w:sz w:val="20"/>
          <w:szCs w:val="20"/>
        </w:rPr>
        <w:t xml:space="preserve"> - </w:t>
      </w:r>
      <w:r w:rsidRPr="00D90CED">
        <w:rPr>
          <w:sz w:val="20"/>
          <w:szCs w:val="20"/>
        </w:rPr>
        <w:t>An initial meeting between ACU and the Riskware vendor was held to commence the upgrade project for Riskware slated for 2024. In p</w:t>
      </w:r>
      <w:r w:rsidR="0009265D">
        <w:rPr>
          <w:sz w:val="20"/>
          <w:szCs w:val="20"/>
        </w:rPr>
        <w:t>reparation</w:t>
      </w:r>
      <w:r w:rsidRPr="00D90CED">
        <w:rPr>
          <w:sz w:val="20"/>
          <w:szCs w:val="20"/>
        </w:rPr>
        <w:t xml:space="preserve">, the Safety </w:t>
      </w:r>
      <w:r w:rsidR="00255A8C">
        <w:rPr>
          <w:sz w:val="20"/>
          <w:szCs w:val="20"/>
        </w:rPr>
        <w:t>and</w:t>
      </w:r>
      <w:r w:rsidRPr="00D90CED">
        <w:rPr>
          <w:sz w:val="20"/>
          <w:szCs w:val="20"/>
        </w:rPr>
        <w:t xml:space="preserve"> Wellbeing team has started mapping “as-is” and “to-be” business processes for incident and hazard reporting, WHS risk management and WHS audits and inspections to inform the software implementation processes.</w:t>
      </w:r>
    </w:p>
    <w:p w14:paraId="21ED3E03" w14:textId="7BB0B07E" w:rsidR="002C3301" w:rsidRPr="009C5CB9" w:rsidRDefault="002C3301" w:rsidP="00F20255">
      <w:pPr>
        <w:pStyle w:val="ListParagraph"/>
        <w:numPr>
          <w:ilvl w:val="0"/>
          <w:numId w:val="5"/>
        </w:numPr>
        <w:spacing w:line="280" w:lineRule="exact"/>
        <w:ind w:left="426" w:hanging="284"/>
        <w:rPr>
          <w:sz w:val="20"/>
          <w:szCs w:val="20"/>
        </w:rPr>
      </w:pPr>
      <w:r w:rsidRPr="009C5CB9">
        <w:rPr>
          <w:b/>
          <w:bCs/>
          <w:sz w:val="20"/>
          <w:szCs w:val="20"/>
        </w:rPr>
        <w:t>WHS Risk Assessment tender</w:t>
      </w:r>
      <w:r>
        <w:rPr>
          <w:sz w:val="20"/>
          <w:szCs w:val="20"/>
        </w:rPr>
        <w:t xml:space="preserve"> </w:t>
      </w:r>
      <w:r w:rsidR="00255A8C">
        <w:rPr>
          <w:sz w:val="20"/>
          <w:szCs w:val="20"/>
        </w:rPr>
        <w:t>–</w:t>
      </w:r>
      <w:r>
        <w:rPr>
          <w:sz w:val="20"/>
          <w:szCs w:val="20"/>
        </w:rPr>
        <w:t xml:space="preserve"> Th</w:t>
      </w:r>
      <w:r w:rsidR="00255A8C">
        <w:rPr>
          <w:sz w:val="20"/>
          <w:szCs w:val="20"/>
        </w:rPr>
        <w:t xml:space="preserve">e </w:t>
      </w:r>
      <w:r w:rsidR="00CD49F9">
        <w:rPr>
          <w:sz w:val="20"/>
          <w:szCs w:val="20"/>
        </w:rPr>
        <w:t xml:space="preserve">tender </w:t>
      </w:r>
      <w:r w:rsidRPr="009C5CB9">
        <w:rPr>
          <w:sz w:val="20"/>
          <w:szCs w:val="20"/>
        </w:rPr>
        <w:t>close</w:t>
      </w:r>
      <w:r w:rsidR="0009265D">
        <w:rPr>
          <w:sz w:val="20"/>
          <w:szCs w:val="20"/>
        </w:rPr>
        <w:t>s 25 January</w:t>
      </w:r>
      <w:r w:rsidR="00CD49F9">
        <w:rPr>
          <w:sz w:val="20"/>
          <w:szCs w:val="20"/>
        </w:rPr>
        <w:t>,</w:t>
      </w:r>
      <w:r w:rsidR="0009265D">
        <w:rPr>
          <w:sz w:val="20"/>
          <w:szCs w:val="20"/>
        </w:rPr>
        <w:t xml:space="preserve"> with r</w:t>
      </w:r>
      <w:r w:rsidRPr="009C5CB9">
        <w:rPr>
          <w:sz w:val="20"/>
          <w:szCs w:val="20"/>
        </w:rPr>
        <w:t xml:space="preserve">esponses </w:t>
      </w:r>
      <w:r w:rsidR="0009265D">
        <w:rPr>
          <w:sz w:val="20"/>
          <w:szCs w:val="20"/>
        </w:rPr>
        <w:t xml:space="preserve">to then </w:t>
      </w:r>
      <w:r w:rsidRPr="009C5CB9">
        <w:rPr>
          <w:sz w:val="20"/>
          <w:szCs w:val="20"/>
        </w:rPr>
        <w:t>be considered by the evaluation panel.</w:t>
      </w:r>
    </w:p>
    <w:p w14:paraId="2570C00D" w14:textId="6DFB12E3" w:rsidR="002C3301" w:rsidRPr="009C5CB9" w:rsidRDefault="002C3301" w:rsidP="00F20255">
      <w:pPr>
        <w:pStyle w:val="ListParagraph"/>
        <w:numPr>
          <w:ilvl w:val="0"/>
          <w:numId w:val="5"/>
        </w:numPr>
        <w:spacing w:line="280" w:lineRule="exact"/>
        <w:ind w:left="426" w:hanging="284"/>
        <w:rPr>
          <w:sz w:val="20"/>
          <w:szCs w:val="20"/>
        </w:rPr>
      </w:pPr>
      <w:r w:rsidRPr="009C5CB9">
        <w:rPr>
          <w:b/>
          <w:bCs/>
          <w:sz w:val="20"/>
          <w:szCs w:val="20"/>
        </w:rPr>
        <w:t xml:space="preserve">WHS Training </w:t>
      </w:r>
      <w:r>
        <w:rPr>
          <w:sz w:val="20"/>
          <w:szCs w:val="20"/>
        </w:rPr>
        <w:t xml:space="preserve">- </w:t>
      </w:r>
      <w:r w:rsidRPr="009C5CB9">
        <w:rPr>
          <w:sz w:val="20"/>
          <w:szCs w:val="20"/>
        </w:rPr>
        <w:t xml:space="preserve">Trial improvements in WHS training course </w:t>
      </w:r>
      <w:r>
        <w:rPr>
          <w:sz w:val="20"/>
          <w:szCs w:val="20"/>
        </w:rPr>
        <w:t xml:space="preserve">accessibility </w:t>
      </w:r>
      <w:r w:rsidRPr="009C5CB9">
        <w:rPr>
          <w:sz w:val="20"/>
          <w:szCs w:val="20"/>
        </w:rPr>
        <w:t xml:space="preserve">were made, with a Manual Handling module </w:t>
      </w:r>
      <w:r w:rsidR="00602B94">
        <w:rPr>
          <w:sz w:val="20"/>
          <w:szCs w:val="20"/>
        </w:rPr>
        <w:t>(</w:t>
      </w:r>
      <w:r w:rsidRPr="009C5CB9">
        <w:rPr>
          <w:sz w:val="20"/>
          <w:szCs w:val="20"/>
        </w:rPr>
        <w:t>previously provided to ACU staff via an external website</w:t>
      </w:r>
      <w:r w:rsidR="00602B94">
        <w:rPr>
          <w:sz w:val="20"/>
          <w:szCs w:val="20"/>
        </w:rPr>
        <w:t>)</w:t>
      </w:r>
      <w:r w:rsidRPr="009C5CB9">
        <w:rPr>
          <w:sz w:val="20"/>
          <w:szCs w:val="20"/>
        </w:rPr>
        <w:t xml:space="preserve"> imported into and made available via ACU’s L</w:t>
      </w:r>
      <w:r w:rsidR="00C22896">
        <w:rPr>
          <w:sz w:val="20"/>
          <w:szCs w:val="20"/>
        </w:rPr>
        <w:t>earning Management System (L</w:t>
      </w:r>
      <w:r w:rsidRPr="009C5CB9">
        <w:rPr>
          <w:sz w:val="20"/>
          <w:szCs w:val="20"/>
        </w:rPr>
        <w:t>MS</w:t>
      </w:r>
      <w:r w:rsidR="00C22896">
        <w:rPr>
          <w:sz w:val="20"/>
          <w:szCs w:val="20"/>
        </w:rPr>
        <w:t>)</w:t>
      </w:r>
      <w:r w:rsidRPr="009C5CB9">
        <w:rPr>
          <w:sz w:val="20"/>
          <w:szCs w:val="20"/>
        </w:rPr>
        <w:t>.  Next steps are to expand the WHS training offerings available</w:t>
      </w:r>
      <w:r>
        <w:rPr>
          <w:sz w:val="20"/>
          <w:szCs w:val="20"/>
        </w:rPr>
        <w:t xml:space="preserve"> within the ACU LMS</w:t>
      </w:r>
      <w:r w:rsidR="0009265D">
        <w:rPr>
          <w:sz w:val="20"/>
          <w:szCs w:val="20"/>
        </w:rPr>
        <w:t xml:space="preserve"> to cover a range of hazards and safety topics</w:t>
      </w:r>
      <w:r w:rsidRPr="009C5CB9">
        <w:rPr>
          <w:sz w:val="20"/>
          <w:szCs w:val="20"/>
        </w:rPr>
        <w:t>.</w:t>
      </w:r>
    </w:p>
    <w:p w14:paraId="718466B8" w14:textId="2F60278C" w:rsidR="002C3301" w:rsidRPr="009C5CB9" w:rsidRDefault="002C3301" w:rsidP="00F20255">
      <w:pPr>
        <w:pStyle w:val="ListParagraph"/>
        <w:numPr>
          <w:ilvl w:val="0"/>
          <w:numId w:val="5"/>
        </w:numPr>
        <w:spacing w:line="280" w:lineRule="exact"/>
        <w:ind w:left="426" w:hanging="284"/>
        <w:rPr>
          <w:sz w:val="20"/>
          <w:szCs w:val="20"/>
        </w:rPr>
      </w:pPr>
      <w:r w:rsidRPr="009C5CB9">
        <w:rPr>
          <w:b/>
          <w:bCs/>
          <w:sz w:val="20"/>
          <w:szCs w:val="20"/>
        </w:rPr>
        <w:t>WorkSafe Victoria Visit</w:t>
      </w:r>
      <w:r w:rsidRPr="003A1098">
        <w:rPr>
          <w:sz w:val="20"/>
          <w:szCs w:val="20"/>
        </w:rPr>
        <w:t xml:space="preserve"> - </w:t>
      </w:r>
      <w:r w:rsidRPr="009C5CB9">
        <w:rPr>
          <w:sz w:val="20"/>
          <w:szCs w:val="20"/>
        </w:rPr>
        <w:t>WorkSafe Victoria (OHS</w:t>
      </w:r>
      <w:r w:rsidR="0009265D">
        <w:rPr>
          <w:sz w:val="20"/>
          <w:szCs w:val="20"/>
        </w:rPr>
        <w:t xml:space="preserve"> </w:t>
      </w:r>
      <w:r w:rsidRPr="009C5CB9">
        <w:rPr>
          <w:sz w:val="20"/>
          <w:szCs w:val="20"/>
        </w:rPr>
        <w:t xml:space="preserve">Regulator) attended the ACU Melbourne campus on 26 October </w:t>
      </w:r>
      <w:r w:rsidR="0009265D">
        <w:rPr>
          <w:sz w:val="20"/>
          <w:szCs w:val="20"/>
        </w:rPr>
        <w:t>and 29</w:t>
      </w:r>
      <w:r w:rsidR="00C22896">
        <w:rPr>
          <w:sz w:val="20"/>
          <w:szCs w:val="20"/>
          <w:vertAlign w:val="superscript"/>
        </w:rPr>
        <w:t xml:space="preserve"> </w:t>
      </w:r>
      <w:r w:rsidR="0009265D">
        <w:rPr>
          <w:sz w:val="20"/>
          <w:szCs w:val="20"/>
        </w:rPr>
        <w:t xml:space="preserve">November </w:t>
      </w:r>
      <w:r w:rsidRPr="009C5CB9">
        <w:rPr>
          <w:sz w:val="20"/>
          <w:szCs w:val="20"/>
        </w:rPr>
        <w:t>for a “proactive intervention program” visit focused on consultation, psychosocial hazards and manual handling as part of a program of visits taking place across the Victorian higher</w:t>
      </w:r>
      <w:r w:rsidR="00DA31A4">
        <w:rPr>
          <w:sz w:val="20"/>
          <w:szCs w:val="20"/>
        </w:rPr>
        <w:t xml:space="preserve"> </w:t>
      </w:r>
      <w:r w:rsidRPr="009C5CB9">
        <w:rPr>
          <w:sz w:val="20"/>
          <w:szCs w:val="20"/>
        </w:rPr>
        <w:t xml:space="preserve">education sector. Some </w:t>
      </w:r>
      <w:r w:rsidR="0009265D">
        <w:rPr>
          <w:sz w:val="20"/>
          <w:szCs w:val="20"/>
        </w:rPr>
        <w:t xml:space="preserve">minor </w:t>
      </w:r>
      <w:r w:rsidRPr="009C5CB9">
        <w:rPr>
          <w:sz w:val="20"/>
          <w:szCs w:val="20"/>
        </w:rPr>
        <w:t>improvement opportunities were identified</w:t>
      </w:r>
      <w:r w:rsidR="0009265D">
        <w:rPr>
          <w:sz w:val="20"/>
          <w:szCs w:val="20"/>
        </w:rPr>
        <w:t>, though no significant issues were raised</w:t>
      </w:r>
      <w:r w:rsidRPr="009C5CB9">
        <w:rPr>
          <w:sz w:val="20"/>
          <w:szCs w:val="20"/>
        </w:rPr>
        <w:t>.</w:t>
      </w:r>
    </w:p>
    <w:p w14:paraId="7F65A34A" w14:textId="174BDF92" w:rsidR="002C3301" w:rsidRDefault="002C3301" w:rsidP="00F20255">
      <w:pPr>
        <w:pStyle w:val="ListParagraph"/>
        <w:numPr>
          <w:ilvl w:val="0"/>
          <w:numId w:val="5"/>
        </w:numPr>
        <w:spacing w:line="280" w:lineRule="exact"/>
        <w:ind w:left="426" w:hanging="284"/>
        <w:rPr>
          <w:sz w:val="20"/>
          <w:szCs w:val="20"/>
        </w:rPr>
      </w:pPr>
      <w:r w:rsidRPr="009C5CB9">
        <w:rPr>
          <w:b/>
          <w:bCs/>
          <w:sz w:val="20"/>
          <w:szCs w:val="20"/>
        </w:rPr>
        <w:t>WHSMS Training and Competency Procedure</w:t>
      </w:r>
      <w:r>
        <w:rPr>
          <w:sz w:val="20"/>
          <w:szCs w:val="20"/>
        </w:rPr>
        <w:t xml:space="preserve"> </w:t>
      </w:r>
      <w:r w:rsidR="004E20F3">
        <w:rPr>
          <w:sz w:val="20"/>
          <w:szCs w:val="20"/>
        </w:rPr>
        <w:t>-</w:t>
      </w:r>
      <w:r>
        <w:rPr>
          <w:sz w:val="20"/>
          <w:szCs w:val="20"/>
        </w:rPr>
        <w:t xml:space="preserve"> </w:t>
      </w:r>
      <w:r w:rsidR="00DA31A4">
        <w:rPr>
          <w:sz w:val="20"/>
          <w:szCs w:val="20"/>
        </w:rPr>
        <w:t xml:space="preserve">The </w:t>
      </w:r>
      <w:r w:rsidR="0009265D">
        <w:rPr>
          <w:sz w:val="20"/>
          <w:szCs w:val="20"/>
        </w:rPr>
        <w:t>P</w:t>
      </w:r>
      <w:r>
        <w:rPr>
          <w:sz w:val="20"/>
          <w:szCs w:val="20"/>
        </w:rPr>
        <w:t xml:space="preserve">rocedure has been updated </w:t>
      </w:r>
      <w:r w:rsidR="0009265D">
        <w:rPr>
          <w:sz w:val="20"/>
          <w:szCs w:val="20"/>
        </w:rPr>
        <w:t xml:space="preserve">following an update </w:t>
      </w:r>
      <w:r>
        <w:rPr>
          <w:sz w:val="20"/>
          <w:szCs w:val="20"/>
        </w:rPr>
        <w:t xml:space="preserve">of </w:t>
      </w:r>
      <w:r w:rsidR="0009265D">
        <w:rPr>
          <w:sz w:val="20"/>
          <w:szCs w:val="20"/>
        </w:rPr>
        <w:t>the</w:t>
      </w:r>
      <w:r>
        <w:rPr>
          <w:sz w:val="20"/>
          <w:szCs w:val="20"/>
        </w:rPr>
        <w:t xml:space="preserve"> training needs assessment and review of AS/NZS ISO45001 requirement</w:t>
      </w:r>
      <w:r w:rsidR="0009265D">
        <w:rPr>
          <w:sz w:val="20"/>
          <w:szCs w:val="20"/>
        </w:rPr>
        <w:t xml:space="preserve">; it now </w:t>
      </w:r>
      <w:r>
        <w:rPr>
          <w:sz w:val="20"/>
          <w:szCs w:val="20"/>
        </w:rPr>
        <w:t xml:space="preserve">includes consideration of training in psychosocial hazards. </w:t>
      </w:r>
      <w:r w:rsidR="0009265D">
        <w:rPr>
          <w:sz w:val="20"/>
          <w:szCs w:val="20"/>
        </w:rPr>
        <w:t>The draft Procedure is c</w:t>
      </w:r>
      <w:r>
        <w:rPr>
          <w:sz w:val="20"/>
          <w:szCs w:val="20"/>
        </w:rPr>
        <w:t>urrently circulating for review and consultation.</w:t>
      </w:r>
    </w:p>
    <w:p w14:paraId="654B2D79" w14:textId="5B1B9312" w:rsidR="002C3301" w:rsidRPr="0047396E" w:rsidRDefault="0009265D" w:rsidP="00F20255">
      <w:pPr>
        <w:pStyle w:val="ListParagraph"/>
        <w:numPr>
          <w:ilvl w:val="0"/>
          <w:numId w:val="5"/>
        </w:numPr>
        <w:spacing w:line="280" w:lineRule="exact"/>
        <w:ind w:left="426" w:hanging="284"/>
        <w:rPr>
          <w:rStyle w:val="eop"/>
          <w:color w:val="000000"/>
          <w:sz w:val="22"/>
          <w:szCs w:val="22"/>
          <w:shd w:val="clear" w:color="auto" w:fill="FFFFFF"/>
        </w:rPr>
      </w:pPr>
      <w:r>
        <w:rPr>
          <w:sz w:val="20"/>
          <w:szCs w:val="20"/>
        </w:rPr>
        <w:t>A draft paper has been prepared for VCAC outlining how the i</w:t>
      </w:r>
      <w:r w:rsidRPr="0009265D">
        <w:rPr>
          <w:rStyle w:val="normaltextrun"/>
          <w:color w:val="000000"/>
          <w:sz w:val="20"/>
          <w:szCs w:val="20"/>
          <w:shd w:val="clear" w:color="auto" w:fill="FFFFFF"/>
        </w:rPr>
        <w:t>n-</w:t>
      </w:r>
      <w:proofErr w:type="gramStart"/>
      <w:r w:rsidRPr="0009265D">
        <w:rPr>
          <w:rStyle w:val="normaltextrun"/>
          <w:color w:val="000000"/>
          <w:sz w:val="20"/>
          <w:szCs w:val="20"/>
          <w:shd w:val="clear" w:color="auto" w:fill="FFFFFF"/>
        </w:rPr>
        <w:t>principle</w:t>
      </w:r>
      <w:proofErr w:type="gramEnd"/>
      <w:r w:rsidRPr="0009265D">
        <w:rPr>
          <w:rStyle w:val="normaltextrun"/>
          <w:color w:val="000000"/>
          <w:sz w:val="20"/>
          <w:szCs w:val="20"/>
          <w:shd w:val="clear" w:color="auto" w:fill="FFFFFF"/>
        </w:rPr>
        <w:t xml:space="preserve"> agreement to fund </w:t>
      </w:r>
      <w:r w:rsidRPr="0047396E">
        <w:rPr>
          <w:rStyle w:val="normaltextrun"/>
          <w:b/>
          <w:bCs/>
          <w:color w:val="000000"/>
          <w:sz w:val="20"/>
          <w:szCs w:val="20"/>
          <w:shd w:val="clear" w:color="auto" w:fill="FFFFFF"/>
        </w:rPr>
        <w:t>HSRs</w:t>
      </w:r>
      <w:r w:rsidRPr="0009265D">
        <w:rPr>
          <w:rStyle w:val="normaltextrun"/>
          <w:color w:val="000000"/>
          <w:sz w:val="20"/>
          <w:szCs w:val="20"/>
          <w:shd w:val="clear" w:color="auto" w:fill="FFFFFF"/>
        </w:rPr>
        <w:t xml:space="preserve"> for 2 hours work per week and triple existing </w:t>
      </w:r>
      <w:r>
        <w:rPr>
          <w:rStyle w:val="normaltextrun"/>
          <w:color w:val="000000"/>
          <w:sz w:val="20"/>
          <w:szCs w:val="20"/>
          <w:shd w:val="clear" w:color="auto" w:fill="FFFFFF"/>
        </w:rPr>
        <w:t xml:space="preserve">HSR </w:t>
      </w:r>
      <w:r w:rsidRPr="0009265D">
        <w:rPr>
          <w:rStyle w:val="normaltextrun"/>
          <w:color w:val="000000"/>
          <w:sz w:val="20"/>
          <w:szCs w:val="20"/>
          <w:shd w:val="clear" w:color="auto" w:fill="FFFFFF"/>
        </w:rPr>
        <w:t xml:space="preserve">numbers in </w:t>
      </w:r>
      <w:r w:rsidRPr="0047396E">
        <w:rPr>
          <w:sz w:val="20"/>
          <w:szCs w:val="20"/>
        </w:rPr>
        <w:t>2024</w:t>
      </w:r>
      <w:r>
        <w:rPr>
          <w:sz w:val="20"/>
          <w:szCs w:val="20"/>
        </w:rPr>
        <w:t xml:space="preserve"> will be achieved from a policy standpoint.</w:t>
      </w:r>
    </w:p>
    <w:p w14:paraId="0968C483" w14:textId="07FE6F52" w:rsidR="002C3301" w:rsidRPr="00AE23EC" w:rsidRDefault="002C3301" w:rsidP="00F20255">
      <w:pPr>
        <w:pStyle w:val="ListParagraph"/>
        <w:numPr>
          <w:ilvl w:val="0"/>
          <w:numId w:val="5"/>
        </w:numPr>
        <w:spacing w:line="280" w:lineRule="exact"/>
        <w:ind w:left="426" w:hanging="284"/>
        <w:rPr>
          <w:rStyle w:val="eop"/>
          <w:color w:val="000000"/>
          <w:sz w:val="20"/>
          <w:szCs w:val="20"/>
          <w:shd w:val="clear" w:color="auto" w:fill="FFFFFF"/>
        </w:rPr>
      </w:pPr>
      <w:r w:rsidRPr="00AE23EC">
        <w:rPr>
          <w:sz w:val="20"/>
          <w:szCs w:val="20"/>
        </w:rPr>
        <w:t xml:space="preserve">The </w:t>
      </w:r>
      <w:r w:rsidRPr="0047396E">
        <w:rPr>
          <w:b/>
          <w:bCs/>
          <w:sz w:val="20"/>
          <w:szCs w:val="20"/>
        </w:rPr>
        <w:t>Riskware mobile application</w:t>
      </w:r>
      <w:r w:rsidRPr="00AE23EC">
        <w:rPr>
          <w:sz w:val="20"/>
          <w:szCs w:val="20"/>
        </w:rPr>
        <w:t xml:space="preserve"> has gone live after months of planning and preparation. A </w:t>
      </w:r>
      <w:r w:rsidR="00E270C9">
        <w:rPr>
          <w:sz w:val="20"/>
          <w:szCs w:val="20"/>
        </w:rPr>
        <w:t>S</w:t>
      </w:r>
      <w:r w:rsidRPr="00AE23EC">
        <w:rPr>
          <w:sz w:val="20"/>
          <w:szCs w:val="20"/>
        </w:rPr>
        <w:t xml:space="preserve">taff </w:t>
      </w:r>
      <w:r w:rsidR="00E270C9">
        <w:rPr>
          <w:sz w:val="20"/>
          <w:szCs w:val="20"/>
        </w:rPr>
        <w:t>B</w:t>
      </w:r>
      <w:r w:rsidRPr="00AE23EC">
        <w:rPr>
          <w:sz w:val="20"/>
          <w:szCs w:val="20"/>
        </w:rPr>
        <w:t xml:space="preserve">ulletin article </w:t>
      </w:r>
      <w:r w:rsidR="004E20F3">
        <w:rPr>
          <w:sz w:val="20"/>
          <w:szCs w:val="20"/>
        </w:rPr>
        <w:t>was</w:t>
      </w:r>
      <w:r w:rsidRPr="00AE23EC">
        <w:rPr>
          <w:sz w:val="20"/>
          <w:szCs w:val="20"/>
        </w:rPr>
        <w:t xml:space="preserve"> published </w:t>
      </w:r>
      <w:r w:rsidR="004E20F3">
        <w:rPr>
          <w:sz w:val="20"/>
          <w:szCs w:val="20"/>
        </w:rPr>
        <w:t>on the</w:t>
      </w:r>
      <w:r w:rsidRPr="00AE23EC">
        <w:rPr>
          <w:sz w:val="20"/>
          <w:szCs w:val="20"/>
        </w:rPr>
        <w:t xml:space="preserve"> 6 December</w:t>
      </w:r>
      <w:r w:rsidR="004E20F3">
        <w:rPr>
          <w:sz w:val="20"/>
          <w:szCs w:val="20"/>
        </w:rPr>
        <w:t xml:space="preserve"> 2023</w:t>
      </w:r>
      <w:r w:rsidRPr="00AE23EC">
        <w:rPr>
          <w:sz w:val="20"/>
          <w:szCs w:val="20"/>
        </w:rPr>
        <w:t xml:space="preserve">, and more internal communications are to follow. </w:t>
      </w:r>
    </w:p>
    <w:p w14:paraId="134793EF" w14:textId="593306D9" w:rsidR="002C3301" w:rsidRPr="00AE23EC" w:rsidRDefault="0009265D" w:rsidP="00F20255">
      <w:pPr>
        <w:pStyle w:val="ListParagraph"/>
        <w:numPr>
          <w:ilvl w:val="0"/>
          <w:numId w:val="5"/>
        </w:numPr>
        <w:spacing w:line="280" w:lineRule="exact"/>
        <w:ind w:left="426" w:hanging="284"/>
        <w:rPr>
          <w:rStyle w:val="normaltextrun"/>
          <w:sz w:val="20"/>
          <w:szCs w:val="20"/>
        </w:rPr>
      </w:pPr>
      <w:r>
        <w:rPr>
          <w:sz w:val="20"/>
          <w:szCs w:val="20"/>
        </w:rPr>
        <w:t>Review c</w:t>
      </w:r>
      <w:r w:rsidR="002C3301" w:rsidRPr="00AE23EC">
        <w:rPr>
          <w:sz w:val="20"/>
          <w:szCs w:val="20"/>
        </w:rPr>
        <w:t xml:space="preserve">ompleted of </w:t>
      </w:r>
      <w:r>
        <w:rPr>
          <w:sz w:val="20"/>
          <w:szCs w:val="20"/>
        </w:rPr>
        <w:t xml:space="preserve">all current </w:t>
      </w:r>
      <w:r w:rsidR="002C3301" w:rsidRPr="00AE23EC">
        <w:rPr>
          <w:sz w:val="20"/>
          <w:szCs w:val="20"/>
        </w:rPr>
        <w:t>State</w:t>
      </w:r>
      <w:r>
        <w:rPr>
          <w:sz w:val="20"/>
          <w:szCs w:val="20"/>
        </w:rPr>
        <w:t xml:space="preserve">-based and Commonwealth </w:t>
      </w:r>
      <w:r w:rsidR="002C3301" w:rsidRPr="00602B94">
        <w:rPr>
          <w:b/>
          <w:bCs/>
          <w:sz w:val="20"/>
          <w:szCs w:val="20"/>
        </w:rPr>
        <w:t>COVID</w:t>
      </w:r>
      <w:r w:rsidR="002C3301" w:rsidRPr="00AE23EC">
        <w:rPr>
          <w:sz w:val="20"/>
          <w:szCs w:val="20"/>
        </w:rPr>
        <w:t xml:space="preserve"> safe</w:t>
      </w:r>
      <w:r>
        <w:rPr>
          <w:sz w:val="20"/>
          <w:szCs w:val="20"/>
        </w:rPr>
        <w:t>ty</w:t>
      </w:r>
      <w:r w:rsidR="002C3301" w:rsidRPr="00AE23EC">
        <w:rPr>
          <w:sz w:val="20"/>
          <w:szCs w:val="20"/>
        </w:rPr>
        <w:t xml:space="preserve"> recommendations to </w:t>
      </w:r>
      <w:r>
        <w:rPr>
          <w:sz w:val="20"/>
          <w:szCs w:val="20"/>
        </w:rPr>
        <w:t xml:space="preserve">support the </w:t>
      </w:r>
      <w:r w:rsidR="002C3301" w:rsidRPr="00AE23EC">
        <w:rPr>
          <w:sz w:val="20"/>
          <w:szCs w:val="20"/>
        </w:rPr>
        <w:t>develop</w:t>
      </w:r>
      <w:r>
        <w:rPr>
          <w:sz w:val="20"/>
          <w:szCs w:val="20"/>
        </w:rPr>
        <w:t xml:space="preserve">ment of </w:t>
      </w:r>
      <w:r w:rsidR="002C3301" w:rsidRPr="00AE23EC">
        <w:rPr>
          <w:sz w:val="20"/>
          <w:szCs w:val="20"/>
        </w:rPr>
        <w:t xml:space="preserve">an </w:t>
      </w:r>
      <w:r>
        <w:rPr>
          <w:sz w:val="20"/>
          <w:szCs w:val="20"/>
        </w:rPr>
        <w:t xml:space="preserve">updated </w:t>
      </w:r>
      <w:r w:rsidR="002C3301" w:rsidRPr="00AE23EC">
        <w:rPr>
          <w:sz w:val="20"/>
          <w:szCs w:val="20"/>
        </w:rPr>
        <w:t>ACU COVID safe approach moving forward.</w:t>
      </w:r>
    </w:p>
    <w:p w14:paraId="09D1DBB0" w14:textId="77777777" w:rsidR="00047F11" w:rsidRDefault="00047F11" w:rsidP="00CB7866">
      <w:pPr>
        <w:spacing w:line="280" w:lineRule="exact"/>
        <w:rPr>
          <w:sz w:val="20"/>
          <w:szCs w:val="20"/>
        </w:rPr>
      </w:pPr>
    </w:p>
    <w:p w14:paraId="478CF83F" w14:textId="77777777" w:rsidR="004E20F3" w:rsidRDefault="004E20F3" w:rsidP="00CB7866">
      <w:pPr>
        <w:spacing w:line="280" w:lineRule="exact"/>
        <w:rPr>
          <w:sz w:val="20"/>
          <w:szCs w:val="20"/>
        </w:rPr>
      </w:pPr>
    </w:p>
    <w:p w14:paraId="51DA442D" w14:textId="44F2D000" w:rsidR="00C40F5E" w:rsidRDefault="00AD10E1" w:rsidP="009B6121">
      <w:pPr>
        <w:pStyle w:val="Heading1"/>
        <w:tabs>
          <w:tab w:val="left" w:pos="426"/>
          <w:tab w:val="left" w:pos="1134"/>
        </w:tabs>
        <w:kinsoku w:val="0"/>
        <w:overflowPunct w:val="0"/>
        <w:spacing w:before="1"/>
        <w:ind w:left="0" w:firstLine="0"/>
        <w:rPr>
          <w:color w:val="3E1B59"/>
        </w:rPr>
      </w:pPr>
      <w:r>
        <w:rPr>
          <w:color w:val="3E1B59"/>
        </w:rPr>
        <w:t>4</w:t>
      </w:r>
      <w:r w:rsidR="00C40F5E">
        <w:rPr>
          <w:color w:val="3E1B59"/>
        </w:rPr>
        <w:t xml:space="preserve">. </w:t>
      </w:r>
      <w:r w:rsidR="00F20255">
        <w:rPr>
          <w:color w:val="3E1B59"/>
        </w:rPr>
        <w:tab/>
      </w:r>
      <w:r w:rsidR="000161FE">
        <w:rPr>
          <w:color w:val="3E1B59"/>
        </w:rPr>
        <w:t>Further Information</w:t>
      </w:r>
    </w:p>
    <w:p w14:paraId="3D76425F" w14:textId="77777777" w:rsidR="00C40F5E" w:rsidRPr="004E20F3" w:rsidRDefault="00C40F5E" w:rsidP="00C40F5E">
      <w:pPr>
        <w:rPr>
          <w:sz w:val="20"/>
          <w:szCs w:val="20"/>
        </w:rPr>
      </w:pPr>
    </w:p>
    <w:p w14:paraId="2DD91DB5" w14:textId="7766E203" w:rsidR="00AC4E6C" w:rsidRDefault="00AD10E1" w:rsidP="00C40F5E">
      <w:pPr>
        <w:spacing w:line="280" w:lineRule="exact"/>
        <w:rPr>
          <w:sz w:val="20"/>
          <w:szCs w:val="20"/>
        </w:rPr>
      </w:pPr>
      <w:r>
        <w:rPr>
          <w:sz w:val="20"/>
          <w:szCs w:val="20"/>
        </w:rPr>
        <w:t>More detailed data</w:t>
      </w:r>
      <w:r w:rsidR="00ED37AC">
        <w:rPr>
          <w:sz w:val="20"/>
          <w:szCs w:val="20"/>
        </w:rPr>
        <w:t xml:space="preserve"> regarding</w:t>
      </w:r>
      <w:r>
        <w:rPr>
          <w:sz w:val="20"/>
          <w:szCs w:val="20"/>
        </w:rPr>
        <w:t>, and advice on improving</w:t>
      </w:r>
      <w:r w:rsidR="00ED37AC">
        <w:rPr>
          <w:sz w:val="20"/>
          <w:szCs w:val="20"/>
        </w:rPr>
        <w:t>,</w:t>
      </w:r>
      <w:r>
        <w:rPr>
          <w:sz w:val="20"/>
          <w:szCs w:val="20"/>
        </w:rPr>
        <w:t xml:space="preserve"> WHS performance for Portfolios, </w:t>
      </w:r>
      <w:r w:rsidR="000161FE">
        <w:rPr>
          <w:sz w:val="20"/>
          <w:szCs w:val="20"/>
        </w:rPr>
        <w:t>Faculties, Directorates and other work area</w:t>
      </w:r>
      <w:r>
        <w:rPr>
          <w:sz w:val="20"/>
          <w:szCs w:val="20"/>
        </w:rPr>
        <w:t>s</w:t>
      </w:r>
      <w:r w:rsidR="00ED37AC">
        <w:rPr>
          <w:sz w:val="20"/>
          <w:szCs w:val="20"/>
        </w:rPr>
        <w:t>,</w:t>
      </w:r>
      <w:r w:rsidR="000161FE">
        <w:rPr>
          <w:sz w:val="20"/>
          <w:szCs w:val="20"/>
        </w:rPr>
        <w:t xml:space="preserve"> is available on request from the Safety &amp; Wellbeing team at </w:t>
      </w:r>
      <w:hyperlink r:id="rId12" w:history="1">
        <w:r w:rsidR="000161FE" w:rsidRPr="0017151A">
          <w:rPr>
            <w:rStyle w:val="Hyperlink"/>
            <w:rFonts w:cs="Arial"/>
            <w:sz w:val="20"/>
            <w:szCs w:val="20"/>
          </w:rPr>
          <w:t>healthsafetywellbeing@acu.edu.au</w:t>
        </w:r>
      </w:hyperlink>
      <w:r w:rsidR="000161FE">
        <w:rPr>
          <w:sz w:val="20"/>
          <w:szCs w:val="20"/>
        </w:rPr>
        <w:t xml:space="preserve">. </w:t>
      </w:r>
    </w:p>
    <w:p w14:paraId="53C7DB2B" w14:textId="77777777" w:rsidR="00AC4E6C" w:rsidRDefault="00AC4E6C" w:rsidP="00C40F5E">
      <w:pPr>
        <w:spacing w:line="280" w:lineRule="exact"/>
        <w:rPr>
          <w:sz w:val="20"/>
          <w:szCs w:val="20"/>
        </w:rPr>
      </w:pPr>
    </w:p>
    <w:p w14:paraId="7A906E27" w14:textId="77777777" w:rsidR="00AC4E6C" w:rsidRDefault="00AC4E6C" w:rsidP="00C40F5E">
      <w:pPr>
        <w:spacing w:line="280" w:lineRule="exact"/>
        <w:rPr>
          <w:sz w:val="20"/>
          <w:szCs w:val="20"/>
        </w:rPr>
      </w:pPr>
    </w:p>
    <w:p w14:paraId="5DF2062E" w14:textId="77777777" w:rsidR="0047396E" w:rsidRDefault="0047396E" w:rsidP="00C40F5E">
      <w:pPr>
        <w:spacing w:line="280" w:lineRule="exact"/>
        <w:rPr>
          <w:sz w:val="20"/>
          <w:szCs w:val="20"/>
        </w:rPr>
      </w:pPr>
    </w:p>
    <w:p w14:paraId="6B6EE82B" w14:textId="4F395567" w:rsidR="00C40F5E" w:rsidRDefault="00C40F5E" w:rsidP="00C40F5E">
      <w:pPr>
        <w:spacing w:line="280" w:lineRule="exact"/>
        <w:rPr>
          <w:sz w:val="20"/>
          <w:szCs w:val="20"/>
        </w:rPr>
      </w:pPr>
      <w:r w:rsidRPr="00570FAF">
        <w:rPr>
          <w:sz w:val="20"/>
          <w:szCs w:val="20"/>
        </w:rPr>
        <w:t xml:space="preserve">Submitted for information by </w:t>
      </w:r>
    </w:p>
    <w:p w14:paraId="18CDB2B5" w14:textId="77777777" w:rsidR="00C40F5E" w:rsidRPr="00570FAF" w:rsidRDefault="00C40F5E" w:rsidP="00C40F5E">
      <w:pPr>
        <w:spacing w:line="280" w:lineRule="exact"/>
        <w:rPr>
          <w:sz w:val="20"/>
          <w:szCs w:val="20"/>
        </w:rPr>
      </w:pPr>
      <w:r>
        <w:rPr>
          <w:sz w:val="20"/>
          <w:szCs w:val="20"/>
        </w:rPr>
        <w:t>People and Capability</w:t>
      </w:r>
    </w:p>
    <w:p w14:paraId="2837456B" w14:textId="69B0DF00" w:rsidR="00C40F5E" w:rsidRDefault="0009265D" w:rsidP="00CB7866">
      <w:pPr>
        <w:spacing w:line="280" w:lineRule="exact"/>
        <w:rPr>
          <w:sz w:val="20"/>
          <w:szCs w:val="20"/>
        </w:rPr>
      </w:pPr>
      <w:r>
        <w:rPr>
          <w:sz w:val="20"/>
          <w:szCs w:val="20"/>
        </w:rPr>
        <w:t>January 2024</w:t>
      </w:r>
      <w:r w:rsidR="000D603E">
        <w:rPr>
          <w:sz w:val="20"/>
          <w:szCs w:val="20"/>
        </w:rPr>
        <w:t xml:space="preserve"> </w:t>
      </w:r>
    </w:p>
    <w:p w14:paraId="791ABC51" w14:textId="77777777" w:rsidR="000D603E" w:rsidRDefault="000D603E" w:rsidP="00CB7866">
      <w:pPr>
        <w:spacing w:line="280" w:lineRule="exact"/>
        <w:rPr>
          <w:sz w:val="20"/>
          <w:szCs w:val="20"/>
        </w:rPr>
      </w:pPr>
    </w:p>
    <w:sectPr w:rsidR="000D603E" w:rsidSect="00ED37AC">
      <w:footerReference w:type="default" r:id="rId13"/>
      <w:pgSz w:w="11910" w:h="16840"/>
      <w:pgMar w:top="709" w:right="1137" w:bottom="709" w:left="993" w:header="0" w:footer="347" w:gutter="0"/>
      <w:cols w:space="720" w:equalWidth="0">
        <w:col w:w="1025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4088" w14:textId="77777777" w:rsidR="00E27536" w:rsidRDefault="00E27536">
      <w:r>
        <w:separator/>
      </w:r>
    </w:p>
  </w:endnote>
  <w:endnote w:type="continuationSeparator" w:id="0">
    <w:p w14:paraId="7507AC2E" w14:textId="77777777" w:rsidR="00E27536" w:rsidRDefault="00E2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280099"/>
      <w:docPartObj>
        <w:docPartGallery w:val="Page Numbers (Bottom of Page)"/>
        <w:docPartUnique/>
      </w:docPartObj>
    </w:sdtPr>
    <w:sdtEndPr>
      <w:rPr>
        <w:noProof/>
      </w:rPr>
    </w:sdtEndPr>
    <w:sdtContent>
      <w:p w14:paraId="603EC95F" w14:textId="5C6F326D" w:rsidR="008E393E" w:rsidRDefault="008E393E" w:rsidP="002E380E">
        <w:pPr>
          <w:pStyle w:val="Footer"/>
          <w:spacing w:line="360" w:lineRule="auto"/>
          <w:jc w:val="center"/>
        </w:pPr>
        <w:r w:rsidRPr="008E393E">
          <w:rPr>
            <w:sz w:val="20"/>
            <w:szCs w:val="20"/>
          </w:rPr>
          <w:fldChar w:fldCharType="begin"/>
        </w:r>
        <w:r w:rsidRPr="008E393E">
          <w:rPr>
            <w:sz w:val="20"/>
            <w:szCs w:val="20"/>
          </w:rPr>
          <w:instrText xml:space="preserve"> PAGE   \* MERGEFORMAT </w:instrText>
        </w:r>
        <w:r w:rsidRPr="008E393E">
          <w:rPr>
            <w:sz w:val="20"/>
            <w:szCs w:val="20"/>
          </w:rPr>
          <w:fldChar w:fldCharType="separate"/>
        </w:r>
        <w:r w:rsidRPr="008E393E">
          <w:rPr>
            <w:noProof/>
            <w:sz w:val="20"/>
            <w:szCs w:val="20"/>
          </w:rPr>
          <w:t>2</w:t>
        </w:r>
        <w:r w:rsidRPr="008E393E">
          <w:rPr>
            <w:noProof/>
            <w:sz w:val="20"/>
            <w:szCs w:val="20"/>
          </w:rPr>
          <w:fldChar w:fldCharType="end"/>
        </w:r>
      </w:p>
    </w:sdtContent>
  </w:sdt>
  <w:p w14:paraId="3DD35E3A" w14:textId="77777777" w:rsidR="008E393E" w:rsidRDefault="008E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D000" w14:textId="77777777" w:rsidR="00E27536" w:rsidRDefault="00E27536">
      <w:r>
        <w:separator/>
      </w:r>
    </w:p>
  </w:footnote>
  <w:footnote w:type="continuationSeparator" w:id="0">
    <w:p w14:paraId="29AC2379" w14:textId="77777777" w:rsidR="00E27536" w:rsidRDefault="00E2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2B4"/>
    <w:multiLevelType w:val="hybridMultilevel"/>
    <w:tmpl w:val="180033D8"/>
    <w:lvl w:ilvl="0" w:tplc="7AFEC666">
      <w:numFmt w:val="bullet"/>
      <w:lvlText w:val="•"/>
      <w:lvlJc w:val="left"/>
      <w:pPr>
        <w:ind w:left="1080" w:hanging="720"/>
      </w:pPr>
      <w:rPr>
        <w:rFonts w:ascii="Arial" w:eastAsia="Times New Roman" w:hAnsi="Arial" w:cs="Arial" w:hint="default"/>
      </w:rPr>
    </w:lvl>
    <w:lvl w:ilvl="1" w:tplc="0C090001">
      <w:start w:val="1"/>
      <w:numFmt w:val="bullet"/>
      <w:lvlText w:val=""/>
      <w:lvlJc w:val="left"/>
      <w:pPr>
        <w:ind w:left="72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AF523E"/>
    <w:multiLevelType w:val="hybridMultilevel"/>
    <w:tmpl w:val="B1F0C6F0"/>
    <w:lvl w:ilvl="0" w:tplc="FFFFFFFF">
      <w:numFmt w:val="bullet"/>
      <w:lvlText w:val="•"/>
      <w:lvlJc w:val="left"/>
      <w:pPr>
        <w:ind w:left="1080" w:hanging="720"/>
      </w:pPr>
      <w:rPr>
        <w:rFonts w:ascii="Arial" w:eastAsia="Times New Roman" w:hAnsi="Arial" w:cs="Arial" w:hint="default"/>
      </w:rPr>
    </w:lvl>
    <w:lvl w:ilvl="1" w:tplc="FFFFFFFF">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96717A"/>
    <w:multiLevelType w:val="hybridMultilevel"/>
    <w:tmpl w:val="483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24632"/>
    <w:multiLevelType w:val="multilevel"/>
    <w:tmpl w:val="526EB852"/>
    <w:lvl w:ilvl="0">
      <w:start w:val="1"/>
      <w:numFmt w:val="decimal"/>
      <w:lvlText w:val="%1."/>
      <w:lvlJc w:val="left"/>
      <w:pPr>
        <w:ind w:left="466" w:hanging="360"/>
      </w:pPr>
      <w:rPr>
        <w:rFonts w:hint="default"/>
      </w:rPr>
    </w:lvl>
    <w:lvl w:ilvl="1">
      <w:start w:val="4"/>
      <w:numFmt w:val="decimal"/>
      <w:isLgl/>
      <w:lvlText w:val="%1.%2"/>
      <w:lvlJc w:val="left"/>
      <w:pPr>
        <w:ind w:left="466"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826" w:hanging="720"/>
      </w:pPr>
      <w:rPr>
        <w:rFonts w:hint="default"/>
      </w:rPr>
    </w:lvl>
    <w:lvl w:ilvl="4">
      <w:start w:val="1"/>
      <w:numFmt w:val="decimal"/>
      <w:isLgl/>
      <w:lvlText w:val="%1.%2.%3.%4.%5"/>
      <w:lvlJc w:val="left"/>
      <w:pPr>
        <w:ind w:left="1186" w:hanging="1080"/>
      </w:pPr>
      <w:rPr>
        <w:rFonts w:hint="default"/>
      </w:rPr>
    </w:lvl>
    <w:lvl w:ilvl="5">
      <w:start w:val="1"/>
      <w:numFmt w:val="decimal"/>
      <w:isLgl/>
      <w:lvlText w:val="%1.%2.%3.%4.%5.%6"/>
      <w:lvlJc w:val="left"/>
      <w:pPr>
        <w:ind w:left="1186" w:hanging="1080"/>
      </w:pPr>
      <w:rPr>
        <w:rFonts w:hint="default"/>
      </w:rPr>
    </w:lvl>
    <w:lvl w:ilvl="6">
      <w:start w:val="1"/>
      <w:numFmt w:val="decimal"/>
      <w:isLgl/>
      <w:lvlText w:val="%1.%2.%3.%4.%5.%6.%7"/>
      <w:lvlJc w:val="left"/>
      <w:pPr>
        <w:ind w:left="1546" w:hanging="1440"/>
      </w:pPr>
      <w:rPr>
        <w:rFonts w:hint="default"/>
      </w:rPr>
    </w:lvl>
    <w:lvl w:ilvl="7">
      <w:start w:val="1"/>
      <w:numFmt w:val="decimal"/>
      <w:isLgl/>
      <w:lvlText w:val="%1.%2.%3.%4.%5.%6.%7.%8"/>
      <w:lvlJc w:val="left"/>
      <w:pPr>
        <w:ind w:left="1546" w:hanging="1440"/>
      </w:pPr>
      <w:rPr>
        <w:rFonts w:hint="default"/>
      </w:rPr>
    </w:lvl>
    <w:lvl w:ilvl="8">
      <w:start w:val="1"/>
      <w:numFmt w:val="decimal"/>
      <w:isLgl/>
      <w:lvlText w:val="%1.%2.%3.%4.%5.%6.%7.%8.%9"/>
      <w:lvlJc w:val="left"/>
      <w:pPr>
        <w:ind w:left="1906" w:hanging="1800"/>
      </w:pPr>
      <w:rPr>
        <w:rFonts w:hint="default"/>
      </w:rPr>
    </w:lvl>
  </w:abstractNum>
  <w:abstractNum w:abstractNumId="4" w15:restartNumberingAfterBreak="0">
    <w:nsid w:val="41D30688"/>
    <w:multiLevelType w:val="hybridMultilevel"/>
    <w:tmpl w:val="6088C2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4016B5"/>
    <w:multiLevelType w:val="hybridMultilevel"/>
    <w:tmpl w:val="8E2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26E80"/>
    <w:multiLevelType w:val="hybridMultilevel"/>
    <w:tmpl w:val="093EF21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7E8A3FA9"/>
    <w:multiLevelType w:val="hybridMultilevel"/>
    <w:tmpl w:val="376812A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8854706">
    <w:abstractNumId w:val="3"/>
  </w:num>
  <w:num w:numId="2" w16cid:durableId="1068454208">
    <w:abstractNumId w:val="0"/>
  </w:num>
  <w:num w:numId="3" w16cid:durableId="1317613877">
    <w:abstractNumId w:val="5"/>
  </w:num>
  <w:num w:numId="4" w16cid:durableId="391924329">
    <w:abstractNumId w:val="6"/>
  </w:num>
  <w:num w:numId="5" w16cid:durableId="1378361133">
    <w:abstractNumId w:val="2"/>
  </w:num>
  <w:num w:numId="6" w16cid:durableId="851140421">
    <w:abstractNumId w:val="4"/>
  </w:num>
  <w:num w:numId="7" w16cid:durableId="1616477471">
    <w:abstractNumId w:val="1"/>
  </w:num>
  <w:num w:numId="8" w16cid:durableId="1392009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4C"/>
    <w:rsid w:val="00000D7D"/>
    <w:rsid w:val="00003770"/>
    <w:rsid w:val="00005EBA"/>
    <w:rsid w:val="00011EAC"/>
    <w:rsid w:val="000133F3"/>
    <w:rsid w:val="00015143"/>
    <w:rsid w:val="000161FE"/>
    <w:rsid w:val="00016577"/>
    <w:rsid w:val="00016CA3"/>
    <w:rsid w:val="0001748F"/>
    <w:rsid w:val="000211BC"/>
    <w:rsid w:val="00022226"/>
    <w:rsid w:val="00023569"/>
    <w:rsid w:val="00027AA4"/>
    <w:rsid w:val="00030245"/>
    <w:rsid w:val="000305CA"/>
    <w:rsid w:val="00033C29"/>
    <w:rsid w:val="00036566"/>
    <w:rsid w:val="00037DB9"/>
    <w:rsid w:val="00045A61"/>
    <w:rsid w:val="00045C09"/>
    <w:rsid w:val="00047F11"/>
    <w:rsid w:val="00050EDF"/>
    <w:rsid w:val="000520ED"/>
    <w:rsid w:val="00054D52"/>
    <w:rsid w:val="00060864"/>
    <w:rsid w:val="000632A1"/>
    <w:rsid w:val="000708A1"/>
    <w:rsid w:val="000739D3"/>
    <w:rsid w:val="00073C4D"/>
    <w:rsid w:val="00075BCA"/>
    <w:rsid w:val="0007716A"/>
    <w:rsid w:val="00081659"/>
    <w:rsid w:val="0008291D"/>
    <w:rsid w:val="000832B7"/>
    <w:rsid w:val="00083776"/>
    <w:rsid w:val="00085680"/>
    <w:rsid w:val="00085E7B"/>
    <w:rsid w:val="00086EEA"/>
    <w:rsid w:val="0009265D"/>
    <w:rsid w:val="00093018"/>
    <w:rsid w:val="00094ACC"/>
    <w:rsid w:val="00094E35"/>
    <w:rsid w:val="00096314"/>
    <w:rsid w:val="000965FC"/>
    <w:rsid w:val="000968CC"/>
    <w:rsid w:val="000978CD"/>
    <w:rsid w:val="000A32B6"/>
    <w:rsid w:val="000A3D6B"/>
    <w:rsid w:val="000A5C75"/>
    <w:rsid w:val="000A5E68"/>
    <w:rsid w:val="000A71A2"/>
    <w:rsid w:val="000A7348"/>
    <w:rsid w:val="000B1CC8"/>
    <w:rsid w:val="000B3687"/>
    <w:rsid w:val="000B629B"/>
    <w:rsid w:val="000B7ECB"/>
    <w:rsid w:val="000C134C"/>
    <w:rsid w:val="000C176D"/>
    <w:rsid w:val="000C22DE"/>
    <w:rsid w:val="000C3183"/>
    <w:rsid w:val="000C3884"/>
    <w:rsid w:val="000C3BC4"/>
    <w:rsid w:val="000C5940"/>
    <w:rsid w:val="000D0023"/>
    <w:rsid w:val="000D0734"/>
    <w:rsid w:val="000D439A"/>
    <w:rsid w:val="000D59BE"/>
    <w:rsid w:val="000D5EFD"/>
    <w:rsid w:val="000D603E"/>
    <w:rsid w:val="000D7535"/>
    <w:rsid w:val="000E03D6"/>
    <w:rsid w:val="000E17E9"/>
    <w:rsid w:val="000E2746"/>
    <w:rsid w:val="000E37AC"/>
    <w:rsid w:val="000E3D95"/>
    <w:rsid w:val="000E741D"/>
    <w:rsid w:val="000E748A"/>
    <w:rsid w:val="000F0276"/>
    <w:rsid w:val="000F1223"/>
    <w:rsid w:val="000F155E"/>
    <w:rsid w:val="000F23B5"/>
    <w:rsid w:val="000F2779"/>
    <w:rsid w:val="000F3BE1"/>
    <w:rsid w:val="000F3CBB"/>
    <w:rsid w:val="000F46C5"/>
    <w:rsid w:val="000F4ABA"/>
    <w:rsid w:val="000F7BCD"/>
    <w:rsid w:val="00100C5D"/>
    <w:rsid w:val="00101057"/>
    <w:rsid w:val="001017C3"/>
    <w:rsid w:val="00104AE4"/>
    <w:rsid w:val="00106ABA"/>
    <w:rsid w:val="00107D2C"/>
    <w:rsid w:val="00112455"/>
    <w:rsid w:val="00112A9F"/>
    <w:rsid w:val="00113DD9"/>
    <w:rsid w:val="00115A44"/>
    <w:rsid w:val="00117C84"/>
    <w:rsid w:val="00121888"/>
    <w:rsid w:val="00122BFC"/>
    <w:rsid w:val="001231A0"/>
    <w:rsid w:val="00124523"/>
    <w:rsid w:val="00124B0C"/>
    <w:rsid w:val="00126ABF"/>
    <w:rsid w:val="00130C95"/>
    <w:rsid w:val="0013104A"/>
    <w:rsid w:val="001334D8"/>
    <w:rsid w:val="00134E5E"/>
    <w:rsid w:val="00152501"/>
    <w:rsid w:val="00152B7F"/>
    <w:rsid w:val="001549B7"/>
    <w:rsid w:val="00160826"/>
    <w:rsid w:val="00164D4A"/>
    <w:rsid w:val="00166F41"/>
    <w:rsid w:val="00167E7C"/>
    <w:rsid w:val="001726A9"/>
    <w:rsid w:val="00173FA2"/>
    <w:rsid w:val="00177208"/>
    <w:rsid w:val="001807C9"/>
    <w:rsid w:val="00182BD7"/>
    <w:rsid w:val="001839DE"/>
    <w:rsid w:val="00184772"/>
    <w:rsid w:val="001853A5"/>
    <w:rsid w:val="001855AA"/>
    <w:rsid w:val="001876D5"/>
    <w:rsid w:val="00192614"/>
    <w:rsid w:val="00192E1E"/>
    <w:rsid w:val="001939DE"/>
    <w:rsid w:val="001A2BE6"/>
    <w:rsid w:val="001A4FE4"/>
    <w:rsid w:val="001A55DD"/>
    <w:rsid w:val="001A581E"/>
    <w:rsid w:val="001A6D0C"/>
    <w:rsid w:val="001A77B7"/>
    <w:rsid w:val="001B0EB9"/>
    <w:rsid w:val="001B3CA1"/>
    <w:rsid w:val="001B6090"/>
    <w:rsid w:val="001C0C5A"/>
    <w:rsid w:val="001C148E"/>
    <w:rsid w:val="001C1D61"/>
    <w:rsid w:val="001C26C6"/>
    <w:rsid w:val="001C3159"/>
    <w:rsid w:val="001C321B"/>
    <w:rsid w:val="001C3EAF"/>
    <w:rsid w:val="001C410B"/>
    <w:rsid w:val="001C7FA9"/>
    <w:rsid w:val="001D0B49"/>
    <w:rsid w:val="001D262C"/>
    <w:rsid w:val="001D362B"/>
    <w:rsid w:val="001D4534"/>
    <w:rsid w:val="001E05F3"/>
    <w:rsid w:val="001E0669"/>
    <w:rsid w:val="001E4107"/>
    <w:rsid w:val="001F4BC0"/>
    <w:rsid w:val="001F7030"/>
    <w:rsid w:val="00200801"/>
    <w:rsid w:val="00200EBB"/>
    <w:rsid w:val="00201252"/>
    <w:rsid w:val="00201AA4"/>
    <w:rsid w:val="00201BEB"/>
    <w:rsid w:val="0020387D"/>
    <w:rsid w:val="00203F74"/>
    <w:rsid w:val="00211496"/>
    <w:rsid w:val="002128CD"/>
    <w:rsid w:val="00223393"/>
    <w:rsid w:val="0022433E"/>
    <w:rsid w:val="00232195"/>
    <w:rsid w:val="00234DA6"/>
    <w:rsid w:val="0023520D"/>
    <w:rsid w:val="002353DF"/>
    <w:rsid w:val="00235F06"/>
    <w:rsid w:val="00240DF6"/>
    <w:rsid w:val="00243EAD"/>
    <w:rsid w:val="002447F6"/>
    <w:rsid w:val="00244C60"/>
    <w:rsid w:val="0024682A"/>
    <w:rsid w:val="00247ECF"/>
    <w:rsid w:val="00253E74"/>
    <w:rsid w:val="00255225"/>
    <w:rsid w:val="00255A8C"/>
    <w:rsid w:val="00260C50"/>
    <w:rsid w:val="002617D7"/>
    <w:rsid w:val="00264740"/>
    <w:rsid w:val="00266EF8"/>
    <w:rsid w:val="00267CE2"/>
    <w:rsid w:val="00267D38"/>
    <w:rsid w:val="002706F5"/>
    <w:rsid w:val="002707A9"/>
    <w:rsid w:val="002710BB"/>
    <w:rsid w:val="00272D0B"/>
    <w:rsid w:val="00272F10"/>
    <w:rsid w:val="00273832"/>
    <w:rsid w:val="00274A6D"/>
    <w:rsid w:val="00274C24"/>
    <w:rsid w:val="00275C4A"/>
    <w:rsid w:val="00276183"/>
    <w:rsid w:val="00277FCF"/>
    <w:rsid w:val="00283276"/>
    <w:rsid w:val="0028465E"/>
    <w:rsid w:val="00287419"/>
    <w:rsid w:val="00290D3C"/>
    <w:rsid w:val="00293D96"/>
    <w:rsid w:val="002A3234"/>
    <w:rsid w:val="002A4608"/>
    <w:rsid w:val="002A4E49"/>
    <w:rsid w:val="002A7239"/>
    <w:rsid w:val="002A74ED"/>
    <w:rsid w:val="002B152B"/>
    <w:rsid w:val="002B2C30"/>
    <w:rsid w:val="002B5A5D"/>
    <w:rsid w:val="002B6BA4"/>
    <w:rsid w:val="002B6D9A"/>
    <w:rsid w:val="002C1985"/>
    <w:rsid w:val="002C2A58"/>
    <w:rsid w:val="002C3301"/>
    <w:rsid w:val="002C6D2A"/>
    <w:rsid w:val="002D3A6F"/>
    <w:rsid w:val="002D5A54"/>
    <w:rsid w:val="002D5D83"/>
    <w:rsid w:val="002D7C97"/>
    <w:rsid w:val="002E380E"/>
    <w:rsid w:val="002E5AB8"/>
    <w:rsid w:val="002F0DFF"/>
    <w:rsid w:val="002F3630"/>
    <w:rsid w:val="002F3806"/>
    <w:rsid w:val="0030062A"/>
    <w:rsid w:val="003015B6"/>
    <w:rsid w:val="00302C20"/>
    <w:rsid w:val="00304A07"/>
    <w:rsid w:val="00306248"/>
    <w:rsid w:val="0031132B"/>
    <w:rsid w:val="00313CF7"/>
    <w:rsid w:val="003150A2"/>
    <w:rsid w:val="00317E5F"/>
    <w:rsid w:val="00320533"/>
    <w:rsid w:val="00323C88"/>
    <w:rsid w:val="00326B69"/>
    <w:rsid w:val="0033404A"/>
    <w:rsid w:val="003352DA"/>
    <w:rsid w:val="00336207"/>
    <w:rsid w:val="003366FB"/>
    <w:rsid w:val="003376E8"/>
    <w:rsid w:val="00337952"/>
    <w:rsid w:val="003433F6"/>
    <w:rsid w:val="00347BB1"/>
    <w:rsid w:val="0035061A"/>
    <w:rsid w:val="00354E6D"/>
    <w:rsid w:val="00356395"/>
    <w:rsid w:val="0036162B"/>
    <w:rsid w:val="00363F3D"/>
    <w:rsid w:val="00367236"/>
    <w:rsid w:val="003740C0"/>
    <w:rsid w:val="003747D9"/>
    <w:rsid w:val="003758ED"/>
    <w:rsid w:val="00375BE2"/>
    <w:rsid w:val="0037750E"/>
    <w:rsid w:val="00381D62"/>
    <w:rsid w:val="0038229E"/>
    <w:rsid w:val="0038399A"/>
    <w:rsid w:val="0038441C"/>
    <w:rsid w:val="00387399"/>
    <w:rsid w:val="003876AA"/>
    <w:rsid w:val="00390641"/>
    <w:rsid w:val="00390ABF"/>
    <w:rsid w:val="003910E6"/>
    <w:rsid w:val="00391DD7"/>
    <w:rsid w:val="00391FC9"/>
    <w:rsid w:val="00394FB8"/>
    <w:rsid w:val="003965A6"/>
    <w:rsid w:val="0039795A"/>
    <w:rsid w:val="003A06D0"/>
    <w:rsid w:val="003A37FD"/>
    <w:rsid w:val="003A4FEF"/>
    <w:rsid w:val="003A61CA"/>
    <w:rsid w:val="003B24FE"/>
    <w:rsid w:val="003B3064"/>
    <w:rsid w:val="003B4236"/>
    <w:rsid w:val="003B47CA"/>
    <w:rsid w:val="003C1218"/>
    <w:rsid w:val="003C3040"/>
    <w:rsid w:val="003C4D02"/>
    <w:rsid w:val="003D286A"/>
    <w:rsid w:val="003D3C7D"/>
    <w:rsid w:val="003D3FEF"/>
    <w:rsid w:val="003D5DBD"/>
    <w:rsid w:val="003D67D6"/>
    <w:rsid w:val="003D7AAB"/>
    <w:rsid w:val="003E1324"/>
    <w:rsid w:val="003E3490"/>
    <w:rsid w:val="003E3BC1"/>
    <w:rsid w:val="003E493F"/>
    <w:rsid w:val="003E5186"/>
    <w:rsid w:val="003E56C4"/>
    <w:rsid w:val="003E5CDC"/>
    <w:rsid w:val="003E7590"/>
    <w:rsid w:val="003E76C0"/>
    <w:rsid w:val="003F10B3"/>
    <w:rsid w:val="003F3A26"/>
    <w:rsid w:val="003F45A9"/>
    <w:rsid w:val="004040EF"/>
    <w:rsid w:val="00404B52"/>
    <w:rsid w:val="00406BCC"/>
    <w:rsid w:val="0041096E"/>
    <w:rsid w:val="00412265"/>
    <w:rsid w:val="004138AD"/>
    <w:rsid w:val="00413A83"/>
    <w:rsid w:val="00414EC6"/>
    <w:rsid w:val="004156AD"/>
    <w:rsid w:val="00415F28"/>
    <w:rsid w:val="004177DB"/>
    <w:rsid w:val="00420B70"/>
    <w:rsid w:val="00422653"/>
    <w:rsid w:val="00424F5D"/>
    <w:rsid w:val="004262DB"/>
    <w:rsid w:val="0043196B"/>
    <w:rsid w:val="00431C72"/>
    <w:rsid w:val="00431E8C"/>
    <w:rsid w:val="004324C3"/>
    <w:rsid w:val="00435F8D"/>
    <w:rsid w:val="00436879"/>
    <w:rsid w:val="0044505A"/>
    <w:rsid w:val="004516F1"/>
    <w:rsid w:val="00452BA7"/>
    <w:rsid w:val="00453307"/>
    <w:rsid w:val="0045337F"/>
    <w:rsid w:val="00460029"/>
    <w:rsid w:val="0046495D"/>
    <w:rsid w:val="0046693D"/>
    <w:rsid w:val="00472A67"/>
    <w:rsid w:val="0047396E"/>
    <w:rsid w:val="00474AAB"/>
    <w:rsid w:val="00474FEC"/>
    <w:rsid w:val="00475030"/>
    <w:rsid w:val="004753D6"/>
    <w:rsid w:val="00481843"/>
    <w:rsid w:val="00481CCA"/>
    <w:rsid w:val="00483E45"/>
    <w:rsid w:val="00483F95"/>
    <w:rsid w:val="00484404"/>
    <w:rsid w:val="0048452B"/>
    <w:rsid w:val="00484A66"/>
    <w:rsid w:val="00485851"/>
    <w:rsid w:val="00486785"/>
    <w:rsid w:val="004A7B4F"/>
    <w:rsid w:val="004B0785"/>
    <w:rsid w:val="004B148B"/>
    <w:rsid w:val="004B5229"/>
    <w:rsid w:val="004B6063"/>
    <w:rsid w:val="004B72B8"/>
    <w:rsid w:val="004B7688"/>
    <w:rsid w:val="004C0C82"/>
    <w:rsid w:val="004C1F33"/>
    <w:rsid w:val="004C6BD7"/>
    <w:rsid w:val="004C72C4"/>
    <w:rsid w:val="004D0896"/>
    <w:rsid w:val="004D1C9F"/>
    <w:rsid w:val="004D2955"/>
    <w:rsid w:val="004D2C23"/>
    <w:rsid w:val="004D3BBA"/>
    <w:rsid w:val="004D53A6"/>
    <w:rsid w:val="004D72C6"/>
    <w:rsid w:val="004E0263"/>
    <w:rsid w:val="004E0AFF"/>
    <w:rsid w:val="004E20F3"/>
    <w:rsid w:val="004E24C8"/>
    <w:rsid w:val="004E36DC"/>
    <w:rsid w:val="004F2F37"/>
    <w:rsid w:val="004F42CE"/>
    <w:rsid w:val="004F5D05"/>
    <w:rsid w:val="004F72D6"/>
    <w:rsid w:val="004F7498"/>
    <w:rsid w:val="00501712"/>
    <w:rsid w:val="00502739"/>
    <w:rsid w:val="005031D7"/>
    <w:rsid w:val="0050635F"/>
    <w:rsid w:val="0050716C"/>
    <w:rsid w:val="0051036A"/>
    <w:rsid w:val="00510FF9"/>
    <w:rsid w:val="005121B0"/>
    <w:rsid w:val="005135AA"/>
    <w:rsid w:val="00521F90"/>
    <w:rsid w:val="00523B1A"/>
    <w:rsid w:val="00527AE1"/>
    <w:rsid w:val="005309B8"/>
    <w:rsid w:val="005312DF"/>
    <w:rsid w:val="00531E56"/>
    <w:rsid w:val="00534387"/>
    <w:rsid w:val="00535CDB"/>
    <w:rsid w:val="00535F30"/>
    <w:rsid w:val="00536E54"/>
    <w:rsid w:val="00540363"/>
    <w:rsid w:val="005448D9"/>
    <w:rsid w:val="00546D81"/>
    <w:rsid w:val="00550660"/>
    <w:rsid w:val="00550D2C"/>
    <w:rsid w:val="00550FC1"/>
    <w:rsid w:val="00552DD3"/>
    <w:rsid w:val="00554E48"/>
    <w:rsid w:val="00565DA1"/>
    <w:rsid w:val="005661D8"/>
    <w:rsid w:val="0056646E"/>
    <w:rsid w:val="00570BD8"/>
    <w:rsid w:val="00570FAF"/>
    <w:rsid w:val="00572209"/>
    <w:rsid w:val="00572592"/>
    <w:rsid w:val="00575DAC"/>
    <w:rsid w:val="005804D0"/>
    <w:rsid w:val="00582C73"/>
    <w:rsid w:val="005852F6"/>
    <w:rsid w:val="00585653"/>
    <w:rsid w:val="00586F4C"/>
    <w:rsid w:val="005879C4"/>
    <w:rsid w:val="005927D9"/>
    <w:rsid w:val="0059356A"/>
    <w:rsid w:val="00595846"/>
    <w:rsid w:val="005970E5"/>
    <w:rsid w:val="005A14B3"/>
    <w:rsid w:val="005A1818"/>
    <w:rsid w:val="005A24EB"/>
    <w:rsid w:val="005A3357"/>
    <w:rsid w:val="005A365A"/>
    <w:rsid w:val="005A59EA"/>
    <w:rsid w:val="005B052A"/>
    <w:rsid w:val="005B2E42"/>
    <w:rsid w:val="005C1C4B"/>
    <w:rsid w:val="005C346D"/>
    <w:rsid w:val="005C3796"/>
    <w:rsid w:val="005C5B4D"/>
    <w:rsid w:val="005C5D95"/>
    <w:rsid w:val="005C7E1A"/>
    <w:rsid w:val="005D6ABF"/>
    <w:rsid w:val="005D724B"/>
    <w:rsid w:val="005D7684"/>
    <w:rsid w:val="005D773F"/>
    <w:rsid w:val="005D79A3"/>
    <w:rsid w:val="005E03BB"/>
    <w:rsid w:val="005E155F"/>
    <w:rsid w:val="005E38CF"/>
    <w:rsid w:val="005E5860"/>
    <w:rsid w:val="005E6B16"/>
    <w:rsid w:val="005F0463"/>
    <w:rsid w:val="005F460D"/>
    <w:rsid w:val="005F5EAB"/>
    <w:rsid w:val="005F6293"/>
    <w:rsid w:val="005F6637"/>
    <w:rsid w:val="005F69CB"/>
    <w:rsid w:val="005F7BFB"/>
    <w:rsid w:val="0060107E"/>
    <w:rsid w:val="0060289B"/>
    <w:rsid w:val="00602B94"/>
    <w:rsid w:val="0060328D"/>
    <w:rsid w:val="00604331"/>
    <w:rsid w:val="0060514F"/>
    <w:rsid w:val="006061F2"/>
    <w:rsid w:val="00606250"/>
    <w:rsid w:val="00606701"/>
    <w:rsid w:val="0060720E"/>
    <w:rsid w:val="00607E8C"/>
    <w:rsid w:val="00610F2D"/>
    <w:rsid w:val="006132B3"/>
    <w:rsid w:val="00615386"/>
    <w:rsid w:val="00616200"/>
    <w:rsid w:val="00616320"/>
    <w:rsid w:val="00624011"/>
    <w:rsid w:val="00624FA9"/>
    <w:rsid w:val="00626599"/>
    <w:rsid w:val="006277FB"/>
    <w:rsid w:val="00627D78"/>
    <w:rsid w:val="00630100"/>
    <w:rsid w:val="00630761"/>
    <w:rsid w:val="00630AE9"/>
    <w:rsid w:val="006329BE"/>
    <w:rsid w:val="00633AD9"/>
    <w:rsid w:val="0063696B"/>
    <w:rsid w:val="00637891"/>
    <w:rsid w:val="00637CE3"/>
    <w:rsid w:val="00641D2C"/>
    <w:rsid w:val="00646162"/>
    <w:rsid w:val="0065107E"/>
    <w:rsid w:val="006519C9"/>
    <w:rsid w:val="00655C49"/>
    <w:rsid w:val="00657168"/>
    <w:rsid w:val="006606CA"/>
    <w:rsid w:val="006606CC"/>
    <w:rsid w:val="00661E0F"/>
    <w:rsid w:val="00661E27"/>
    <w:rsid w:val="00665A6E"/>
    <w:rsid w:val="00665BA4"/>
    <w:rsid w:val="006663D8"/>
    <w:rsid w:val="00667E29"/>
    <w:rsid w:val="0067143A"/>
    <w:rsid w:val="0067149D"/>
    <w:rsid w:val="0067426D"/>
    <w:rsid w:val="006761DF"/>
    <w:rsid w:val="00676B73"/>
    <w:rsid w:val="00677F2C"/>
    <w:rsid w:val="00680B7B"/>
    <w:rsid w:val="00680DFD"/>
    <w:rsid w:val="00685C25"/>
    <w:rsid w:val="0069225A"/>
    <w:rsid w:val="0069371C"/>
    <w:rsid w:val="00693746"/>
    <w:rsid w:val="00694BA0"/>
    <w:rsid w:val="0069522F"/>
    <w:rsid w:val="00695767"/>
    <w:rsid w:val="00697A19"/>
    <w:rsid w:val="006A109E"/>
    <w:rsid w:val="006A2381"/>
    <w:rsid w:val="006A64B5"/>
    <w:rsid w:val="006B44FA"/>
    <w:rsid w:val="006C1DA1"/>
    <w:rsid w:val="006C583F"/>
    <w:rsid w:val="006C7D7C"/>
    <w:rsid w:val="006C7EC8"/>
    <w:rsid w:val="006D2BE7"/>
    <w:rsid w:val="006E1A3B"/>
    <w:rsid w:val="006E241C"/>
    <w:rsid w:val="006E3B64"/>
    <w:rsid w:val="006E41C9"/>
    <w:rsid w:val="006E6E1F"/>
    <w:rsid w:val="006F10FF"/>
    <w:rsid w:val="006F2BBA"/>
    <w:rsid w:val="007026F0"/>
    <w:rsid w:val="00703218"/>
    <w:rsid w:val="007058C9"/>
    <w:rsid w:val="00706DD7"/>
    <w:rsid w:val="007079D3"/>
    <w:rsid w:val="0071045E"/>
    <w:rsid w:val="00712EBB"/>
    <w:rsid w:val="00716BE7"/>
    <w:rsid w:val="00720502"/>
    <w:rsid w:val="007218E3"/>
    <w:rsid w:val="00721B4F"/>
    <w:rsid w:val="007222D1"/>
    <w:rsid w:val="00723177"/>
    <w:rsid w:val="00723501"/>
    <w:rsid w:val="007238BF"/>
    <w:rsid w:val="00723AE4"/>
    <w:rsid w:val="007254EC"/>
    <w:rsid w:val="007256F0"/>
    <w:rsid w:val="00725F01"/>
    <w:rsid w:val="0072610F"/>
    <w:rsid w:val="0073120E"/>
    <w:rsid w:val="0073200A"/>
    <w:rsid w:val="00733A0A"/>
    <w:rsid w:val="007342D7"/>
    <w:rsid w:val="00736088"/>
    <w:rsid w:val="00736766"/>
    <w:rsid w:val="00740977"/>
    <w:rsid w:val="00742179"/>
    <w:rsid w:val="00742EEA"/>
    <w:rsid w:val="0074640B"/>
    <w:rsid w:val="00747B36"/>
    <w:rsid w:val="00751117"/>
    <w:rsid w:val="0075577B"/>
    <w:rsid w:val="00756482"/>
    <w:rsid w:val="00757193"/>
    <w:rsid w:val="007611E6"/>
    <w:rsid w:val="007620D4"/>
    <w:rsid w:val="0076251B"/>
    <w:rsid w:val="00765563"/>
    <w:rsid w:val="00766287"/>
    <w:rsid w:val="00770025"/>
    <w:rsid w:val="00770D24"/>
    <w:rsid w:val="00772090"/>
    <w:rsid w:val="00775A8D"/>
    <w:rsid w:val="00776FC7"/>
    <w:rsid w:val="007777C8"/>
    <w:rsid w:val="00782495"/>
    <w:rsid w:val="007841A5"/>
    <w:rsid w:val="007844B3"/>
    <w:rsid w:val="007860D8"/>
    <w:rsid w:val="007873F7"/>
    <w:rsid w:val="007A0D28"/>
    <w:rsid w:val="007A308B"/>
    <w:rsid w:val="007A6D50"/>
    <w:rsid w:val="007B2CF3"/>
    <w:rsid w:val="007B4874"/>
    <w:rsid w:val="007B4B87"/>
    <w:rsid w:val="007B6578"/>
    <w:rsid w:val="007B7BBE"/>
    <w:rsid w:val="007C2139"/>
    <w:rsid w:val="007C2594"/>
    <w:rsid w:val="007C301F"/>
    <w:rsid w:val="007C6A0F"/>
    <w:rsid w:val="007C7E79"/>
    <w:rsid w:val="007D21C0"/>
    <w:rsid w:val="007D4DBA"/>
    <w:rsid w:val="007D5BC7"/>
    <w:rsid w:val="007E0692"/>
    <w:rsid w:val="007E25D6"/>
    <w:rsid w:val="007E4211"/>
    <w:rsid w:val="007E6F5F"/>
    <w:rsid w:val="007F1489"/>
    <w:rsid w:val="007F3DD2"/>
    <w:rsid w:val="007F556F"/>
    <w:rsid w:val="007F7821"/>
    <w:rsid w:val="007F7C6B"/>
    <w:rsid w:val="00801170"/>
    <w:rsid w:val="008020AF"/>
    <w:rsid w:val="00802DF4"/>
    <w:rsid w:val="008053EB"/>
    <w:rsid w:val="00806406"/>
    <w:rsid w:val="0080687F"/>
    <w:rsid w:val="00806CF9"/>
    <w:rsid w:val="00812239"/>
    <w:rsid w:val="0081317A"/>
    <w:rsid w:val="00821C52"/>
    <w:rsid w:val="00833CFB"/>
    <w:rsid w:val="00835267"/>
    <w:rsid w:val="00836618"/>
    <w:rsid w:val="0084037D"/>
    <w:rsid w:val="00841D0A"/>
    <w:rsid w:val="00842DCD"/>
    <w:rsid w:val="008437F2"/>
    <w:rsid w:val="00846212"/>
    <w:rsid w:val="00846A9C"/>
    <w:rsid w:val="00850A4C"/>
    <w:rsid w:val="008527DC"/>
    <w:rsid w:val="008541C8"/>
    <w:rsid w:val="00854C2F"/>
    <w:rsid w:val="0085535A"/>
    <w:rsid w:val="008562E6"/>
    <w:rsid w:val="00857AF8"/>
    <w:rsid w:val="008604B3"/>
    <w:rsid w:val="00863A5C"/>
    <w:rsid w:val="00867014"/>
    <w:rsid w:val="008706A2"/>
    <w:rsid w:val="00873DF6"/>
    <w:rsid w:val="0087460D"/>
    <w:rsid w:val="00875EFE"/>
    <w:rsid w:val="008774E1"/>
    <w:rsid w:val="008803F1"/>
    <w:rsid w:val="00881E00"/>
    <w:rsid w:val="008843F2"/>
    <w:rsid w:val="008864FD"/>
    <w:rsid w:val="00886FBB"/>
    <w:rsid w:val="00890FAB"/>
    <w:rsid w:val="008924E0"/>
    <w:rsid w:val="008925F9"/>
    <w:rsid w:val="0089372F"/>
    <w:rsid w:val="0089766F"/>
    <w:rsid w:val="008A3DA2"/>
    <w:rsid w:val="008A4152"/>
    <w:rsid w:val="008A6792"/>
    <w:rsid w:val="008A6E98"/>
    <w:rsid w:val="008B1275"/>
    <w:rsid w:val="008B12DB"/>
    <w:rsid w:val="008B64B5"/>
    <w:rsid w:val="008B7BEB"/>
    <w:rsid w:val="008C1927"/>
    <w:rsid w:val="008C2F6A"/>
    <w:rsid w:val="008C34D9"/>
    <w:rsid w:val="008C398A"/>
    <w:rsid w:val="008C68A2"/>
    <w:rsid w:val="008C72A0"/>
    <w:rsid w:val="008D1126"/>
    <w:rsid w:val="008D2243"/>
    <w:rsid w:val="008D22DB"/>
    <w:rsid w:val="008D2B47"/>
    <w:rsid w:val="008E0633"/>
    <w:rsid w:val="008E3930"/>
    <w:rsid w:val="008E393E"/>
    <w:rsid w:val="008E4007"/>
    <w:rsid w:val="008E5E0A"/>
    <w:rsid w:val="008E5FD8"/>
    <w:rsid w:val="008E7CFF"/>
    <w:rsid w:val="008F0CB3"/>
    <w:rsid w:val="008F10F9"/>
    <w:rsid w:val="008F230D"/>
    <w:rsid w:val="008F46D5"/>
    <w:rsid w:val="008F6143"/>
    <w:rsid w:val="008F798D"/>
    <w:rsid w:val="00901E86"/>
    <w:rsid w:val="00904046"/>
    <w:rsid w:val="00904111"/>
    <w:rsid w:val="00914DB7"/>
    <w:rsid w:val="00914EE4"/>
    <w:rsid w:val="0091611B"/>
    <w:rsid w:val="00916C21"/>
    <w:rsid w:val="009312C1"/>
    <w:rsid w:val="00931358"/>
    <w:rsid w:val="009314DB"/>
    <w:rsid w:val="009320F2"/>
    <w:rsid w:val="00932E79"/>
    <w:rsid w:val="00941585"/>
    <w:rsid w:val="00941924"/>
    <w:rsid w:val="00941A27"/>
    <w:rsid w:val="00941F61"/>
    <w:rsid w:val="0094222B"/>
    <w:rsid w:val="0094229D"/>
    <w:rsid w:val="00942D96"/>
    <w:rsid w:val="00943C87"/>
    <w:rsid w:val="00944AD2"/>
    <w:rsid w:val="0094549A"/>
    <w:rsid w:val="0095684B"/>
    <w:rsid w:val="00956AE7"/>
    <w:rsid w:val="00960545"/>
    <w:rsid w:val="009618A5"/>
    <w:rsid w:val="0096265B"/>
    <w:rsid w:val="00964C99"/>
    <w:rsid w:val="00965CD3"/>
    <w:rsid w:val="00966108"/>
    <w:rsid w:val="00967388"/>
    <w:rsid w:val="0097121C"/>
    <w:rsid w:val="00971500"/>
    <w:rsid w:val="009750E4"/>
    <w:rsid w:val="0097701C"/>
    <w:rsid w:val="009814B9"/>
    <w:rsid w:val="00981598"/>
    <w:rsid w:val="00982307"/>
    <w:rsid w:val="00983323"/>
    <w:rsid w:val="00987454"/>
    <w:rsid w:val="00990BE2"/>
    <w:rsid w:val="00991F43"/>
    <w:rsid w:val="0099224E"/>
    <w:rsid w:val="009933A0"/>
    <w:rsid w:val="00993B8F"/>
    <w:rsid w:val="00993C90"/>
    <w:rsid w:val="009941F9"/>
    <w:rsid w:val="009950FD"/>
    <w:rsid w:val="00996BF7"/>
    <w:rsid w:val="009973C9"/>
    <w:rsid w:val="009A129C"/>
    <w:rsid w:val="009A6658"/>
    <w:rsid w:val="009B4820"/>
    <w:rsid w:val="009B6121"/>
    <w:rsid w:val="009C04F8"/>
    <w:rsid w:val="009C0705"/>
    <w:rsid w:val="009C356A"/>
    <w:rsid w:val="009C4F4C"/>
    <w:rsid w:val="009D60C6"/>
    <w:rsid w:val="009D6ECC"/>
    <w:rsid w:val="009E0517"/>
    <w:rsid w:val="009E455A"/>
    <w:rsid w:val="009E4DE5"/>
    <w:rsid w:val="009E7826"/>
    <w:rsid w:val="009F1836"/>
    <w:rsid w:val="009F1AC6"/>
    <w:rsid w:val="009F1FCE"/>
    <w:rsid w:val="009F2571"/>
    <w:rsid w:val="009F3662"/>
    <w:rsid w:val="009F4803"/>
    <w:rsid w:val="009F4906"/>
    <w:rsid w:val="009F6CE7"/>
    <w:rsid w:val="00A03D28"/>
    <w:rsid w:val="00A06013"/>
    <w:rsid w:val="00A15223"/>
    <w:rsid w:val="00A1621C"/>
    <w:rsid w:val="00A17D59"/>
    <w:rsid w:val="00A20F01"/>
    <w:rsid w:val="00A220CE"/>
    <w:rsid w:val="00A22611"/>
    <w:rsid w:val="00A243D8"/>
    <w:rsid w:val="00A2686D"/>
    <w:rsid w:val="00A27A28"/>
    <w:rsid w:val="00A3270C"/>
    <w:rsid w:val="00A35135"/>
    <w:rsid w:val="00A35A91"/>
    <w:rsid w:val="00A37B5A"/>
    <w:rsid w:val="00A405BC"/>
    <w:rsid w:val="00A40978"/>
    <w:rsid w:val="00A43D4A"/>
    <w:rsid w:val="00A45593"/>
    <w:rsid w:val="00A45DA2"/>
    <w:rsid w:val="00A47AF3"/>
    <w:rsid w:val="00A52EE0"/>
    <w:rsid w:val="00A53CB2"/>
    <w:rsid w:val="00A5547A"/>
    <w:rsid w:val="00A60BC5"/>
    <w:rsid w:val="00A62F33"/>
    <w:rsid w:val="00A70021"/>
    <w:rsid w:val="00A70055"/>
    <w:rsid w:val="00A70B23"/>
    <w:rsid w:val="00A72D4E"/>
    <w:rsid w:val="00A74065"/>
    <w:rsid w:val="00A75A49"/>
    <w:rsid w:val="00A81F67"/>
    <w:rsid w:val="00A821A7"/>
    <w:rsid w:val="00A82821"/>
    <w:rsid w:val="00A8319C"/>
    <w:rsid w:val="00A8401C"/>
    <w:rsid w:val="00A8518E"/>
    <w:rsid w:val="00A85F6B"/>
    <w:rsid w:val="00A91608"/>
    <w:rsid w:val="00AA0D79"/>
    <w:rsid w:val="00AA5420"/>
    <w:rsid w:val="00AA5D83"/>
    <w:rsid w:val="00AA7587"/>
    <w:rsid w:val="00AB5070"/>
    <w:rsid w:val="00AB6DBF"/>
    <w:rsid w:val="00AC0780"/>
    <w:rsid w:val="00AC2ED6"/>
    <w:rsid w:val="00AC374E"/>
    <w:rsid w:val="00AC4E6C"/>
    <w:rsid w:val="00AC537C"/>
    <w:rsid w:val="00AD0730"/>
    <w:rsid w:val="00AD10E1"/>
    <w:rsid w:val="00AD2C58"/>
    <w:rsid w:val="00AD2FA4"/>
    <w:rsid w:val="00AD3E7F"/>
    <w:rsid w:val="00AD4147"/>
    <w:rsid w:val="00AE13BE"/>
    <w:rsid w:val="00AE3A41"/>
    <w:rsid w:val="00AE3A42"/>
    <w:rsid w:val="00AE57AC"/>
    <w:rsid w:val="00AE5C26"/>
    <w:rsid w:val="00AE6859"/>
    <w:rsid w:val="00AE6F1D"/>
    <w:rsid w:val="00AF09DB"/>
    <w:rsid w:val="00AF4B9A"/>
    <w:rsid w:val="00AF5BFE"/>
    <w:rsid w:val="00AF604C"/>
    <w:rsid w:val="00AF74B8"/>
    <w:rsid w:val="00AF7EB1"/>
    <w:rsid w:val="00AF7FC1"/>
    <w:rsid w:val="00B02A66"/>
    <w:rsid w:val="00B04912"/>
    <w:rsid w:val="00B06F04"/>
    <w:rsid w:val="00B070FC"/>
    <w:rsid w:val="00B0733D"/>
    <w:rsid w:val="00B118E4"/>
    <w:rsid w:val="00B12097"/>
    <w:rsid w:val="00B15D69"/>
    <w:rsid w:val="00B16D48"/>
    <w:rsid w:val="00B17C2B"/>
    <w:rsid w:val="00B26C87"/>
    <w:rsid w:val="00B30264"/>
    <w:rsid w:val="00B314B1"/>
    <w:rsid w:val="00B31E16"/>
    <w:rsid w:val="00B342D6"/>
    <w:rsid w:val="00B3529B"/>
    <w:rsid w:val="00B3555A"/>
    <w:rsid w:val="00B402B6"/>
    <w:rsid w:val="00B42BAF"/>
    <w:rsid w:val="00B43F3C"/>
    <w:rsid w:val="00B46BE3"/>
    <w:rsid w:val="00B5446F"/>
    <w:rsid w:val="00B5468E"/>
    <w:rsid w:val="00B55996"/>
    <w:rsid w:val="00B60391"/>
    <w:rsid w:val="00B65013"/>
    <w:rsid w:val="00B7123F"/>
    <w:rsid w:val="00B719CE"/>
    <w:rsid w:val="00B726B1"/>
    <w:rsid w:val="00B72FC6"/>
    <w:rsid w:val="00B74AA7"/>
    <w:rsid w:val="00B74C18"/>
    <w:rsid w:val="00B84279"/>
    <w:rsid w:val="00B87E37"/>
    <w:rsid w:val="00B94CB6"/>
    <w:rsid w:val="00BA2164"/>
    <w:rsid w:val="00BA21AD"/>
    <w:rsid w:val="00BA234F"/>
    <w:rsid w:val="00BA283A"/>
    <w:rsid w:val="00BA5172"/>
    <w:rsid w:val="00BA59EF"/>
    <w:rsid w:val="00BA60E0"/>
    <w:rsid w:val="00BA7FF8"/>
    <w:rsid w:val="00BB014C"/>
    <w:rsid w:val="00BB1BBB"/>
    <w:rsid w:val="00BC2AE4"/>
    <w:rsid w:val="00BC349A"/>
    <w:rsid w:val="00BC5CF7"/>
    <w:rsid w:val="00BD3F13"/>
    <w:rsid w:val="00BD52E1"/>
    <w:rsid w:val="00BD6092"/>
    <w:rsid w:val="00BD692E"/>
    <w:rsid w:val="00BE0049"/>
    <w:rsid w:val="00BE039C"/>
    <w:rsid w:val="00BE0D4C"/>
    <w:rsid w:val="00BE1FC2"/>
    <w:rsid w:val="00BE27B6"/>
    <w:rsid w:val="00BE4832"/>
    <w:rsid w:val="00BE5066"/>
    <w:rsid w:val="00BE59BE"/>
    <w:rsid w:val="00BE763E"/>
    <w:rsid w:val="00BF5C83"/>
    <w:rsid w:val="00BF76F8"/>
    <w:rsid w:val="00C02210"/>
    <w:rsid w:val="00C023BE"/>
    <w:rsid w:val="00C029DE"/>
    <w:rsid w:val="00C02A95"/>
    <w:rsid w:val="00C1022B"/>
    <w:rsid w:val="00C11A60"/>
    <w:rsid w:val="00C1322C"/>
    <w:rsid w:val="00C14111"/>
    <w:rsid w:val="00C151A6"/>
    <w:rsid w:val="00C16058"/>
    <w:rsid w:val="00C205A4"/>
    <w:rsid w:val="00C22896"/>
    <w:rsid w:val="00C23B62"/>
    <w:rsid w:val="00C24A46"/>
    <w:rsid w:val="00C24F12"/>
    <w:rsid w:val="00C26886"/>
    <w:rsid w:val="00C31037"/>
    <w:rsid w:val="00C32360"/>
    <w:rsid w:val="00C36455"/>
    <w:rsid w:val="00C4056C"/>
    <w:rsid w:val="00C40F5E"/>
    <w:rsid w:val="00C42BA2"/>
    <w:rsid w:val="00C43B90"/>
    <w:rsid w:val="00C44BFE"/>
    <w:rsid w:val="00C478D9"/>
    <w:rsid w:val="00C5072F"/>
    <w:rsid w:val="00C57128"/>
    <w:rsid w:val="00C609D0"/>
    <w:rsid w:val="00C6224B"/>
    <w:rsid w:val="00C6482C"/>
    <w:rsid w:val="00C655C2"/>
    <w:rsid w:val="00C662CB"/>
    <w:rsid w:val="00C70FB2"/>
    <w:rsid w:val="00C71F5F"/>
    <w:rsid w:val="00C71F96"/>
    <w:rsid w:val="00C741DF"/>
    <w:rsid w:val="00C76D4A"/>
    <w:rsid w:val="00C76E84"/>
    <w:rsid w:val="00C835CE"/>
    <w:rsid w:val="00C87026"/>
    <w:rsid w:val="00C90533"/>
    <w:rsid w:val="00C912B5"/>
    <w:rsid w:val="00C95054"/>
    <w:rsid w:val="00C97EE2"/>
    <w:rsid w:val="00CA00DC"/>
    <w:rsid w:val="00CA0415"/>
    <w:rsid w:val="00CA08B7"/>
    <w:rsid w:val="00CA0B07"/>
    <w:rsid w:val="00CA2DC9"/>
    <w:rsid w:val="00CA62DC"/>
    <w:rsid w:val="00CB247A"/>
    <w:rsid w:val="00CB36E0"/>
    <w:rsid w:val="00CB4A07"/>
    <w:rsid w:val="00CB525A"/>
    <w:rsid w:val="00CB7866"/>
    <w:rsid w:val="00CC208B"/>
    <w:rsid w:val="00CC22ED"/>
    <w:rsid w:val="00CC2853"/>
    <w:rsid w:val="00CC34EC"/>
    <w:rsid w:val="00CC62F9"/>
    <w:rsid w:val="00CC71DE"/>
    <w:rsid w:val="00CC77CE"/>
    <w:rsid w:val="00CD3A18"/>
    <w:rsid w:val="00CD406B"/>
    <w:rsid w:val="00CD49F9"/>
    <w:rsid w:val="00CD61CA"/>
    <w:rsid w:val="00CD6675"/>
    <w:rsid w:val="00CE4873"/>
    <w:rsid w:val="00CE5BB8"/>
    <w:rsid w:val="00CF208A"/>
    <w:rsid w:val="00CF42CF"/>
    <w:rsid w:val="00CF4700"/>
    <w:rsid w:val="00D0133E"/>
    <w:rsid w:val="00D031E9"/>
    <w:rsid w:val="00D06FA8"/>
    <w:rsid w:val="00D10F5C"/>
    <w:rsid w:val="00D11B0D"/>
    <w:rsid w:val="00D11E79"/>
    <w:rsid w:val="00D14790"/>
    <w:rsid w:val="00D15328"/>
    <w:rsid w:val="00D168C5"/>
    <w:rsid w:val="00D20BB9"/>
    <w:rsid w:val="00D2146B"/>
    <w:rsid w:val="00D223F5"/>
    <w:rsid w:val="00D2550D"/>
    <w:rsid w:val="00D25DEB"/>
    <w:rsid w:val="00D276F6"/>
    <w:rsid w:val="00D27A19"/>
    <w:rsid w:val="00D3093A"/>
    <w:rsid w:val="00D30EDC"/>
    <w:rsid w:val="00D310AB"/>
    <w:rsid w:val="00D3213B"/>
    <w:rsid w:val="00D3432D"/>
    <w:rsid w:val="00D35EA3"/>
    <w:rsid w:val="00D400E9"/>
    <w:rsid w:val="00D42BBD"/>
    <w:rsid w:val="00D43AB6"/>
    <w:rsid w:val="00D51E56"/>
    <w:rsid w:val="00D526E4"/>
    <w:rsid w:val="00D61F42"/>
    <w:rsid w:val="00D62602"/>
    <w:rsid w:val="00D6294C"/>
    <w:rsid w:val="00D64CFA"/>
    <w:rsid w:val="00D653BC"/>
    <w:rsid w:val="00D66284"/>
    <w:rsid w:val="00D66302"/>
    <w:rsid w:val="00D66E7E"/>
    <w:rsid w:val="00D70F97"/>
    <w:rsid w:val="00D7227D"/>
    <w:rsid w:val="00D73DD8"/>
    <w:rsid w:val="00D740A5"/>
    <w:rsid w:val="00D7617A"/>
    <w:rsid w:val="00D80BCB"/>
    <w:rsid w:val="00D80E43"/>
    <w:rsid w:val="00D8136B"/>
    <w:rsid w:val="00D8609F"/>
    <w:rsid w:val="00D9097B"/>
    <w:rsid w:val="00D950A5"/>
    <w:rsid w:val="00D95131"/>
    <w:rsid w:val="00D95E55"/>
    <w:rsid w:val="00DA0D26"/>
    <w:rsid w:val="00DA0DD4"/>
    <w:rsid w:val="00DA2BAB"/>
    <w:rsid w:val="00DA31A4"/>
    <w:rsid w:val="00DA5A7E"/>
    <w:rsid w:val="00DB1010"/>
    <w:rsid w:val="00DB1521"/>
    <w:rsid w:val="00DB20AD"/>
    <w:rsid w:val="00DB2622"/>
    <w:rsid w:val="00DB2EC3"/>
    <w:rsid w:val="00DB39FA"/>
    <w:rsid w:val="00DB3EA2"/>
    <w:rsid w:val="00DB76EB"/>
    <w:rsid w:val="00DB77D2"/>
    <w:rsid w:val="00DC574E"/>
    <w:rsid w:val="00DC5D03"/>
    <w:rsid w:val="00DD213F"/>
    <w:rsid w:val="00DD399F"/>
    <w:rsid w:val="00DD629C"/>
    <w:rsid w:val="00DD6FBD"/>
    <w:rsid w:val="00DE0190"/>
    <w:rsid w:val="00DE6B87"/>
    <w:rsid w:val="00DF12A3"/>
    <w:rsid w:val="00DF4526"/>
    <w:rsid w:val="00E02BF3"/>
    <w:rsid w:val="00E064AC"/>
    <w:rsid w:val="00E07390"/>
    <w:rsid w:val="00E11AC0"/>
    <w:rsid w:val="00E13687"/>
    <w:rsid w:val="00E15BAB"/>
    <w:rsid w:val="00E17424"/>
    <w:rsid w:val="00E20129"/>
    <w:rsid w:val="00E20C48"/>
    <w:rsid w:val="00E2540B"/>
    <w:rsid w:val="00E270C9"/>
    <w:rsid w:val="00E27536"/>
    <w:rsid w:val="00E30A56"/>
    <w:rsid w:val="00E405CE"/>
    <w:rsid w:val="00E41813"/>
    <w:rsid w:val="00E46071"/>
    <w:rsid w:val="00E47830"/>
    <w:rsid w:val="00E47D1B"/>
    <w:rsid w:val="00E50908"/>
    <w:rsid w:val="00E50967"/>
    <w:rsid w:val="00E52873"/>
    <w:rsid w:val="00E529A6"/>
    <w:rsid w:val="00E54CD1"/>
    <w:rsid w:val="00E55080"/>
    <w:rsid w:val="00E556C3"/>
    <w:rsid w:val="00E566EC"/>
    <w:rsid w:val="00E567AF"/>
    <w:rsid w:val="00E6025E"/>
    <w:rsid w:val="00E607DD"/>
    <w:rsid w:val="00E62483"/>
    <w:rsid w:val="00E63054"/>
    <w:rsid w:val="00E637EA"/>
    <w:rsid w:val="00E74669"/>
    <w:rsid w:val="00E7665E"/>
    <w:rsid w:val="00E76932"/>
    <w:rsid w:val="00E77961"/>
    <w:rsid w:val="00E8068E"/>
    <w:rsid w:val="00E8084D"/>
    <w:rsid w:val="00E82124"/>
    <w:rsid w:val="00E82F7D"/>
    <w:rsid w:val="00E8328A"/>
    <w:rsid w:val="00E840A3"/>
    <w:rsid w:val="00E86200"/>
    <w:rsid w:val="00E87835"/>
    <w:rsid w:val="00E93CD6"/>
    <w:rsid w:val="00E94130"/>
    <w:rsid w:val="00EA0CC1"/>
    <w:rsid w:val="00EA42F7"/>
    <w:rsid w:val="00EA4E7A"/>
    <w:rsid w:val="00EA5C06"/>
    <w:rsid w:val="00EB1922"/>
    <w:rsid w:val="00EB1E3A"/>
    <w:rsid w:val="00EB414D"/>
    <w:rsid w:val="00EC7ECA"/>
    <w:rsid w:val="00ED1CCB"/>
    <w:rsid w:val="00ED37AC"/>
    <w:rsid w:val="00ED4C93"/>
    <w:rsid w:val="00ED4D39"/>
    <w:rsid w:val="00ED590F"/>
    <w:rsid w:val="00ED5943"/>
    <w:rsid w:val="00EE3437"/>
    <w:rsid w:val="00EE4334"/>
    <w:rsid w:val="00EE51A3"/>
    <w:rsid w:val="00EE6A86"/>
    <w:rsid w:val="00EE7328"/>
    <w:rsid w:val="00EF292E"/>
    <w:rsid w:val="00EF419E"/>
    <w:rsid w:val="00EF431A"/>
    <w:rsid w:val="00EF4357"/>
    <w:rsid w:val="00EF4EC1"/>
    <w:rsid w:val="00EF4F10"/>
    <w:rsid w:val="00EF7165"/>
    <w:rsid w:val="00F0130E"/>
    <w:rsid w:val="00F02264"/>
    <w:rsid w:val="00F027E3"/>
    <w:rsid w:val="00F04EE9"/>
    <w:rsid w:val="00F05F3A"/>
    <w:rsid w:val="00F07058"/>
    <w:rsid w:val="00F11BFC"/>
    <w:rsid w:val="00F13B95"/>
    <w:rsid w:val="00F149C0"/>
    <w:rsid w:val="00F20255"/>
    <w:rsid w:val="00F2188B"/>
    <w:rsid w:val="00F223C7"/>
    <w:rsid w:val="00F23A51"/>
    <w:rsid w:val="00F27687"/>
    <w:rsid w:val="00F3212F"/>
    <w:rsid w:val="00F32C52"/>
    <w:rsid w:val="00F32C9E"/>
    <w:rsid w:val="00F33A9E"/>
    <w:rsid w:val="00F33C22"/>
    <w:rsid w:val="00F41E06"/>
    <w:rsid w:val="00F43246"/>
    <w:rsid w:val="00F43B14"/>
    <w:rsid w:val="00F44DEA"/>
    <w:rsid w:val="00F528E3"/>
    <w:rsid w:val="00F55037"/>
    <w:rsid w:val="00F61670"/>
    <w:rsid w:val="00F63689"/>
    <w:rsid w:val="00F662BE"/>
    <w:rsid w:val="00F663FA"/>
    <w:rsid w:val="00F66634"/>
    <w:rsid w:val="00F66B2B"/>
    <w:rsid w:val="00F708BF"/>
    <w:rsid w:val="00F71D40"/>
    <w:rsid w:val="00F721F3"/>
    <w:rsid w:val="00F74408"/>
    <w:rsid w:val="00F802BC"/>
    <w:rsid w:val="00F80802"/>
    <w:rsid w:val="00F83780"/>
    <w:rsid w:val="00F8544E"/>
    <w:rsid w:val="00F8671D"/>
    <w:rsid w:val="00F8693B"/>
    <w:rsid w:val="00F87C6A"/>
    <w:rsid w:val="00F9144D"/>
    <w:rsid w:val="00F9188E"/>
    <w:rsid w:val="00F93605"/>
    <w:rsid w:val="00F961BB"/>
    <w:rsid w:val="00F972FD"/>
    <w:rsid w:val="00FA03BA"/>
    <w:rsid w:val="00FA0634"/>
    <w:rsid w:val="00FA105C"/>
    <w:rsid w:val="00FA15D4"/>
    <w:rsid w:val="00FA2615"/>
    <w:rsid w:val="00FA49B5"/>
    <w:rsid w:val="00FB0FAD"/>
    <w:rsid w:val="00FB23A7"/>
    <w:rsid w:val="00FC0242"/>
    <w:rsid w:val="00FC32CD"/>
    <w:rsid w:val="00FC34B7"/>
    <w:rsid w:val="00FC4EE3"/>
    <w:rsid w:val="00FC7286"/>
    <w:rsid w:val="00FD1B8A"/>
    <w:rsid w:val="00FD2616"/>
    <w:rsid w:val="00FD3E6D"/>
    <w:rsid w:val="00FD4EB6"/>
    <w:rsid w:val="00FD590F"/>
    <w:rsid w:val="00FE0675"/>
    <w:rsid w:val="00FE4CEB"/>
    <w:rsid w:val="00FE4FDF"/>
    <w:rsid w:val="00FF0125"/>
    <w:rsid w:val="00FF0C4E"/>
    <w:rsid w:val="00FF4DB4"/>
    <w:rsid w:val="00FF6521"/>
    <w:rsid w:val="00FF7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ED85A"/>
  <w15:docId w15:val="{F661E436-5451-41D1-90C4-5FF5BE57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59E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pPr>
      <w:ind w:left="673" w:hanging="567"/>
      <w:outlineLvl w:val="0"/>
    </w:pPr>
    <w:rPr>
      <w:b/>
      <w:bCs/>
    </w:rPr>
  </w:style>
  <w:style w:type="paragraph" w:styleId="Heading2">
    <w:name w:val="heading 2"/>
    <w:basedOn w:val="Normal"/>
    <w:next w:val="Normal"/>
    <w:link w:val="Heading2Char"/>
    <w:uiPriority w:val="9"/>
    <w:qFormat/>
    <w:pPr>
      <w:spacing w:before="76"/>
      <w:ind w:left="1239" w:hanging="566"/>
      <w:outlineLvl w:val="1"/>
    </w:pPr>
    <w:rPr>
      <w:b/>
      <w:bCs/>
      <w:sz w:val="20"/>
      <w:szCs w:val="20"/>
    </w:rPr>
  </w:style>
  <w:style w:type="paragraph" w:styleId="Heading3">
    <w:name w:val="heading 3"/>
    <w:basedOn w:val="Normal"/>
    <w:link w:val="Heading3Char"/>
    <w:uiPriority w:val="9"/>
    <w:unhideWhenUsed/>
    <w:qFormat/>
    <w:rsid w:val="000C22DE"/>
    <w:pPr>
      <w:adjustRightInd/>
      <w:spacing w:before="150"/>
      <w:ind w:left="2859"/>
      <w:outlineLvl w:val="2"/>
    </w:pPr>
    <w:rPr>
      <w:rFonts w:eastAsia="Arial"/>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locked/>
    <w:rPr>
      <w:rFonts w:ascii="Arial" w:hAnsi="Arial" w:cs="Arial"/>
      <w:sz w:val="24"/>
      <w:szCs w:val="24"/>
    </w:rPr>
  </w:style>
  <w:style w:type="paragraph" w:styleId="ListParagraph">
    <w:name w:val="List Paragraph"/>
    <w:basedOn w:val="Normal"/>
    <w:uiPriority w:val="34"/>
    <w:qFormat/>
    <w:pPr>
      <w:ind w:left="1239" w:hanging="422"/>
    </w:pPr>
  </w:style>
  <w:style w:type="paragraph" w:customStyle="1" w:styleId="TableParagraph">
    <w:name w:val="Table Paragraph"/>
    <w:basedOn w:val="Normal"/>
    <w:uiPriority w:val="1"/>
    <w:qFormat/>
    <w:pPr>
      <w:spacing w:line="206" w:lineRule="exact"/>
      <w:ind w:left="105"/>
    </w:pPr>
  </w:style>
  <w:style w:type="table" w:styleId="TableGrid">
    <w:name w:val="Table Grid"/>
    <w:basedOn w:val="TableNormal"/>
    <w:uiPriority w:val="39"/>
    <w:rsid w:val="005D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356A"/>
    <w:rPr>
      <w:rFonts w:cs="Times New Roman"/>
      <w:color w:val="0000FF"/>
      <w:u w:val="single"/>
    </w:rPr>
  </w:style>
  <w:style w:type="paragraph" w:styleId="BalloonText">
    <w:name w:val="Balloon Text"/>
    <w:basedOn w:val="Normal"/>
    <w:link w:val="BalloonTextChar"/>
    <w:uiPriority w:val="99"/>
    <w:semiHidden/>
    <w:unhideWhenUsed/>
    <w:rsid w:val="00F528E3"/>
    <w:rPr>
      <w:rFonts w:ascii="Segoe UI" w:hAnsi="Segoe UI" w:cs="Segoe UI"/>
      <w:sz w:val="18"/>
      <w:szCs w:val="18"/>
    </w:rPr>
  </w:style>
  <w:style w:type="character" w:customStyle="1" w:styleId="BalloonTextChar">
    <w:name w:val="Balloon Text Char"/>
    <w:link w:val="BalloonText"/>
    <w:uiPriority w:val="99"/>
    <w:semiHidden/>
    <w:locked/>
    <w:rsid w:val="00F528E3"/>
    <w:rPr>
      <w:rFonts w:ascii="Segoe UI" w:hAnsi="Segoe UI" w:cs="Segoe UI"/>
      <w:sz w:val="18"/>
      <w:szCs w:val="18"/>
    </w:rPr>
  </w:style>
  <w:style w:type="character" w:styleId="UnresolvedMention">
    <w:name w:val="Unresolved Mention"/>
    <w:uiPriority w:val="99"/>
    <w:semiHidden/>
    <w:unhideWhenUsed/>
    <w:rsid w:val="0051036A"/>
    <w:rPr>
      <w:rFonts w:cs="Times New Roman"/>
      <w:color w:val="605E5C"/>
      <w:shd w:val="clear" w:color="auto" w:fill="E1DFDD"/>
    </w:rPr>
  </w:style>
  <w:style w:type="paragraph" w:styleId="Header">
    <w:name w:val="header"/>
    <w:basedOn w:val="Normal"/>
    <w:link w:val="HeaderChar"/>
    <w:uiPriority w:val="99"/>
    <w:unhideWhenUsed/>
    <w:rsid w:val="00E20C48"/>
    <w:pPr>
      <w:tabs>
        <w:tab w:val="center" w:pos="4513"/>
        <w:tab w:val="right" w:pos="9026"/>
      </w:tabs>
    </w:pPr>
  </w:style>
  <w:style w:type="character" w:customStyle="1" w:styleId="HeaderChar">
    <w:name w:val="Header Char"/>
    <w:link w:val="Header"/>
    <w:uiPriority w:val="99"/>
    <w:locked/>
    <w:rsid w:val="00E20C48"/>
    <w:rPr>
      <w:rFonts w:ascii="Arial" w:hAnsi="Arial" w:cs="Arial"/>
      <w:sz w:val="24"/>
      <w:szCs w:val="24"/>
    </w:rPr>
  </w:style>
  <w:style w:type="paragraph" w:styleId="Footer">
    <w:name w:val="footer"/>
    <w:basedOn w:val="Normal"/>
    <w:link w:val="FooterChar"/>
    <w:uiPriority w:val="99"/>
    <w:unhideWhenUsed/>
    <w:rsid w:val="00E20C48"/>
    <w:pPr>
      <w:tabs>
        <w:tab w:val="center" w:pos="4513"/>
        <w:tab w:val="right" w:pos="9026"/>
      </w:tabs>
    </w:pPr>
  </w:style>
  <w:style w:type="character" w:customStyle="1" w:styleId="FooterChar">
    <w:name w:val="Footer Char"/>
    <w:link w:val="Footer"/>
    <w:uiPriority w:val="99"/>
    <w:locked/>
    <w:rsid w:val="00E20C48"/>
    <w:rPr>
      <w:rFonts w:ascii="Arial" w:hAnsi="Arial" w:cs="Arial"/>
      <w:sz w:val="24"/>
      <w:szCs w:val="24"/>
    </w:rPr>
  </w:style>
  <w:style w:type="character" w:styleId="CommentReference">
    <w:name w:val="annotation reference"/>
    <w:uiPriority w:val="99"/>
    <w:semiHidden/>
    <w:unhideWhenUsed/>
    <w:rsid w:val="00904111"/>
    <w:rPr>
      <w:sz w:val="16"/>
      <w:szCs w:val="16"/>
    </w:rPr>
  </w:style>
  <w:style w:type="paragraph" w:styleId="CommentText">
    <w:name w:val="annotation text"/>
    <w:basedOn w:val="Normal"/>
    <w:link w:val="CommentTextChar"/>
    <w:uiPriority w:val="99"/>
    <w:unhideWhenUsed/>
    <w:rsid w:val="00904111"/>
    <w:rPr>
      <w:sz w:val="20"/>
      <w:szCs w:val="20"/>
    </w:rPr>
  </w:style>
  <w:style w:type="character" w:customStyle="1" w:styleId="CommentTextChar">
    <w:name w:val="Comment Text Char"/>
    <w:link w:val="CommentText"/>
    <w:uiPriority w:val="99"/>
    <w:rsid w:val="00904111"/>
    <w:rPr>
      <w:rFonts w:ascii="Arial" w:hAnsi="Arial" w:cs="Arial"/>
    </w:rPr>
  </w:style>
  <w:style w:type="paragraph" w:styleId="CommentSubject">
    <w:name w:val="annotation subject"/>
    <w:basedOn w:val="CommentText"/>
    <w:next w:val="CommentText"/>
    <w:link w:val="CommentSubjectChar"/>
    <w:uiPriority w:val="99"/>
    <w:semiHidden/>
    <w:unhideWhenUsed/>
    <w:rsid w:val="00904111"/>
    <w:rPr>
      <w:b/>
      <w:bCs/>
    </w:rPr>
  </w:style>
  <w:style w:type="character" w:customStyle="1" w:styleId="CommentSubjectChar">
    <w:name w:val="Comment Subject Char"/>
    <w:link w:val="CommentSubject"/>
    <w:uiPriority w:val="99"/>
    <w:semiHidden/>
    <w:rsid w:val="00904111"/>
    <w:rPr>
      <w:rFonts w:ascii="Arial" w:hAnsi="Arial" w:cs="Arial"/>
      <w:b/>
      <w:bCs/>
    </w:rPr>
  </w:style>
  <w:style w:type="character" w:styleId="FollowedHyperlink">
    <w:name w:val="FollowedHyperlink"/>
    <w:basedOn w:val="DefaultParagraphFont"/>
    <w:uiPriority w:val="99"/>
    <w:semiHidden/>
    <w:unhideWhenUsed/>
    <w:rsid w:val="00EF419E"/>
    <w:rPr>
      <w:color w:val="954F72" w:themeColor="followedHyperlink"/>
      <w:u w:val="single"/>
    </w:rPr>
  </w:style>
  <w:style w:type="paragraph" w:styleId="FootnoteText">
    <w:name w:val="footnote text"/>
    <w:basedOn w:val="Normal"/>
    <w:link w:val="FootnoteTextChar"/>
    <w:uiPriority w:val="99"/>
    <w:semiHidden/>
    <w:unhideWhenUsed/>
    <w:rsid w:val="00B74C18"/>
    <w:rPr>
      <w:sz w:val="20"/>
      <w:szCs w:val="20"/>
    </w:rPr>
  </w:style>
  <w:style w:type="character" w:customStyle="1" w:styleId="FootnoteTextChar">
    <w:name w:val="Footnote Text Char"/>
    <w:basedOn w:val="DefaultParagraphFont"/>
    <w:link w:val="FootnoteText"/>
    <w:uiPriority w:val="99"/>
    <w:semiHidden/>
    <w:rsid w:val="00B74C18"/>
    <w:rPr>
      <w:rFonts w:ascii="Arial" w:hAnsi="Arial" w:cs="Arial"/>
    </w:rPr>
  </w:style>
  <w:style w:type="character" w:styleId="FootnoteReference">
    <w:name w:val="footnote reference"/>
    <w:basedOn w:val="DefaultParagraphFont"/>
    <w:uiPriority w:val="99"/>
    <w:semiHidden/>
    <w:unhideWhenUsed/>
    <w:rsid w:val="00B74C18"/>
    <w:rPr>
      <w:vertAlign w:val="superscript"/>
    </w:rPr>
  </w:style>
  <w:style w:type="paragraph" w:customStyle="1" w:styleId="Default">
    <w:name w:val="Default"/>
    <w:rsid w:val="005927D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156AD"/>
    <w:rPr>
      <w:rFonts w:ascii="Arial" w:hAnsi="Arial" w:cs="Arial"/>
      <w:sz w:val="24"/>
      <w:szCs w:val="24"/>
    </w:rPr>
  </w:style>
  <w:style w:type="paragraph" w:customStyle="1" w:styleId="xmsonormal">
    <w:name w:val="x_msonormal"/>
    <w:basedOn w:val="Normal"/>
    <w:rsid w:val="005F6637"/>
    <w:pPr>
      <w:widowControl/>
      <w:autoSpaceDE/>
      <w:autoSpaceDN/>
      <w:adjustRightInd/>
      <w:spacing w:before="100" w:beforeAutospacing="1" w:after="100" w:afterAutospacing="1"/>
    </w:pPr>
    <w:rPr>
      <w:rFonts w:ascii="Times New Roman" w:hAnsi="Times New Roman" w:cs="Times New Roman"/>
    </w:rPr>
  </w:style>
  <w:style w:type="character" w:customStyle="1" w:styleId="mark6xpaa0h8p">
    <w:name w:val="mark6xpaa0h8p"/>
    <w:basedOn w:val="DefaultParagraphFont"/>
    <w:rsid w:val="005F6637"/>
  </w:style>
  <w:style w:type="character" w:customStyle="1" w:styleId="Heading3Char">
    <w:name w:val="Heading 3 Char"/>
    <w:basedOn w:val="DefaultParagraphFont"/>
    <w:link w:val="Heading3"/>
    <w:uiPriority w:val="9"/>
    <w:rsid w:val="000C22DE"/>
    <w:rPr>
      <w:rFonts w:ascii="Arial" w:eastAsia="Arial" w:hAnsi="Arial" w:cs="Arial"/>
      <w:lang w:val="en-US" w:eastAsia="en-US"/>
    </w:rPr>
  </w:style>
  <w:style w:type="paragraph" w:styleId="TOC1">
    <w:name w:val="toc 1"/>
    <w:basedOn w:val="Normal"/>
    <w:uiPriority w:val="1"/>
    <w:qFormat/>
    <w:rsid w:val="000C22DE"/>
    <w:pPr>
      <w:adjustRightInd/>
      <w:spacing w:before="192"/>
      <w:ind w:left="120"/>
    </w:pPr>
    <w:rPr>
      <w:rFonts w:eastAsia="Arial"/>
      <w:lang w:val="en-US" w:eastAsia="en-US"/>
    </w:rPr>
  </w:style>
  <w:style w:type="character" w:customStyle="1" w:styleId="normaltextrun">
    <w:name w:val="normaltextrun"/>
    <w:basedOn w:val="DefaultParagraphFont"/>
    <w:rsid w:val="002C3301"/>
  </w:style>
  <w:style w:type="character" w:customStyle="1" w:styleId="eop">
    <w:name w:val="eop"/>
    <w:basedOn w:val="DefaultParagraphFont"/>
    <w:rsid w:val="002C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954">
      <w:bodyDiv w:val="1"/>
      <w:marLeft w:val="0"/>
      <w:marRight w:val="0"/>
      <w:marTop w:val="0"/>
      <w:marBottom w:val="0"/>
      <w:divBdr>
        <w:top w:val="none" w:sz="0" w:space="0" w:color="auto"/>
        <w:left w:val="none" w:sz="0" w:space="0" w:color="auto"/>
        <w:bottom w:val="none" w:sz="0" w:space="0" w:color="auto"/>
        <w:right w:val="none" w:sz="0" w:space="0" w:color="auto"/>
      </w:divBdr>
    </w:div>
    <w:div w:id="94714377">
      <w:bodyDiv w:val="1"/>
      <w:marLeft w:val="0"/>
      <w:marRight w:val="0"/>
      <w:marTop w:val="0"/>
      <w:marBottom w:val="0"/>
      <w:divBdr>
        <w:top w:val="none" w:sz="0" w:space="0" w:color="auto"/>
        <w:left w:val="none" w:sz="0" w:space="0" w:color="auto"/>
        <w:bottom w:val="none" w:sz="0" w:space="0" w:color="auto"/>
        <w:right w:val="none" w:sz="0" w:space="0" w:color="auto"/>
      </w:divBdr>
    </w:div>
    <w:div w:id="135029247">
      <w:bodyDiv w:val="1"/>
      <w:marLeft w:val="0"/>
      <w:marRight w:val="0"/>
      <w:marTop w:val="0"/>
      <w:marBottom w:val="0"/>
      <w:divBdr>
        <w:top w:val="none" w:sz="0" w:space="0" w:color="auto"/>
        <w:left w:val="none" w:sz="0" w:space="0" w:color="auto"/>
        <w:bottom w:val="none" w:sz="0" w:space="0" w:color="auto"/>
        <w:right w:val="none" w:sz="0" w:space="0" w:color="auto"/>
      </w:divBdr>
    </w:div>
    <w:div w:id="177744568">
      <w:bodyDiv w:val="1"/>
      <w:marLeft w:val="0"/>
      <w:marRight w:val="0"/>
      <w:marTop w:val="0"/>
      <w:marBottom w:val="0"/>
      <w:divBdr>
        <w:top w:val="none" w:sz="0" w:space="0" w:color="auto"/>
        <w:left w:val="none" w:sz="0" w:space="0" w:color="auto"/>
        <w:bottom w:val="none" w:sz="0" w:space="0" w:color="auto"/>
        <w:right w:val="none" w:sz="0" w:space="0" w:color="auto"/>
      </w:divBdr>
    </w:div>
    <w:div w:id="307173940">
      <w:bodyDiv w:val="1"/>
      <w:marLeft w:val="0"/>
      <w:marRight w:val="0"/>
      <w:marTop w:val="0"/>
      <w:marBottom w:val="0"/>
      <w:divBdr>
        <w:top w:val="none" w:sz="0" w:space="0" w:color="auto"/>
        <w:left w:val="none" w:sz="0" w:space="0" w:color="auto"/>
        <w:bottom w:val="none" w:sz="0" w:space="0" w:color="auto"/>
        <w:right w:val="none" w:sz="0" w:space="0" w:color="auto"/>
      </w:divBdr>
    </w:div>
    <w:div w:id="313919890">
      <w:bodyDiv w:val="1"/>
      <w:marLeft w:val="0"/>
      <w:marRight w:val="0"/>
      <w:marTop w:val="0"/>
      <w:marBottom w:val="0"/>
      <w:divBdr>
        <w:top w:val="none" w:sz="0" w:space="0" w:color="auto"/>
        <w:left w:val="none" w:sz="0" w:space="0" w:color="auto"/>
        <w:bottom w:val="none" w:sz="0" w:space="0" w:color="auto"/>
        <w:right w:val="none" w:sz="0" w:space="0" w:color="auto"/>
      </w:divBdr>
    </w:div>
    <w:div w:id="332342455">
      <w:bodyDiv w:val="1"/>
      <w:marLeft w:val="0"/>
      <w:marRight w:val="0"/>
      <w:marTop w:val="0"/>
      <w:marBottom w:val="0"/>
      <w:divBdr>
        <w:top w:val="none" w:sz="0" w:space="0" w:color="auto"/>
        <w:left w:val="none" w:sz="0" w:space="0" w:color="auto"/>
        <w:bottom w:val="none" w:sz="0" w:space="0" w:color="auto"/>
        <w:right w:val="none" w:sz="0" w:space="0" w:color="auto"/>
      </w:divBdr>
    </w:div>
    <w:div w:id="352531940">
      <w:bodyDiv w:val="1"/>
      <w:marLeft w:val="0"/>
      <w:marRight w:val="0"/>
      <w:marTop w:val="0"/>
      <w:marBottom w:val="0"/>
      <w:divBdr>
        <w:top w:val="none" w:sz="0" w:space="0" w:color="auto"/>
        <w:left w:val="none" w:sz="0" w:space="0" w:color="auto"/>
        <w:bottom w:val="none" w:sz="0" w:space="0" w:color="auto"/>
        <w:right w:val="none" w:sz="0" w:space="0" w:color="auto"/>
      </w:divBdr>
    </w:div>
    <w:div w:id="462773022">
      <w:bodyDiv w:val="1"/>
      <w:marLeft w:val="0"/>
      <w:marRight w:val="0"/>
      <w:marTop w:val="0"/>
      <w:marBottom w:val="0"/>
      <w:divBdr>
        <w:top w:val="none" w:sz="0" w:space="0" w:color="auto"/>
        <w:left w:val="none" w:sz="0" w:space="0" w:color="auto"/>
        <w:bottom w:val="none" w:sz="0" w:space="0" w:color="auto"/>
        <w:right w:val="none" w:sz="0" w:space="0" w:color="auto"/>
      </w:divBdr>
    </w:div>
    <w:div w:id="519777180">
      <w:bodyDiv w:val="1"/>
      <w:marLeft w:val="0"/>
      <w:marRight w:val="0"/>
      <w:marTop w:val="0"/>
      <w:marBottom w:val="0"/>
      <w:divBdr>
        <w:top w:val="none" w:sz="0" w:space="0" w:color="auto"/>
        <w:left w:val="none" w:sz="0" w:space="0" w:color="auto"/>
        <w:bottom w:val="none" w:sz="0" w:space="0" w:color="auto"/>
        <w:right w:val="none" w:sz="0" w:space="0" w:color="auto"/>
      </w:divBdr>
    </w:div>
    <w:div w:id="600407721">
      <w:bodyDiv w:val="1"/>
      <w:marLeft w:val="0"/>
      <w:marRight w:val="0"/>
      <w:marTop w:val="0"/>
      <w:marBottom w:val="0"/>
      <w:divBdr>
        <w:top w:val="none" w:sz="0" w:space="0" w:color="auto"/>
        <w:left w:val="none" w:sz="0" w:space="0" w:color="auto"/>
        <w:bottom w:val="none" w:sz="0" w:space="0" w:color="auto"/>
        <w:right w:val="none" w:sz="0" w:space="0" w:color="auto"/>
      </w:divBdr>
    </w:div>
    <w:div w:id="605847407">
      <w:bodyDiv w:val="1"/>
      <w:marLeft w:val="0"/>
      <w:marRight w:val="0"/>
      <w:marTop w:val="0"/>
      <w:marBottom w:val="0"/>
      <w:divBdr>
        <w:top w:val="none" w:sz="0" w:space="0" w:color="auto"/>
        <w:left w:val="none" w:sz="0" w:space="0" w:color="auto"/>
        <w:bottom w:val="none" w:sz="0" w:space="0" w:color="auto"/>
        <w:right w:val="none" w:sz="0" w:space="0" w:color="auto"/>
      </w:divBdr>
    </w:div>
    <w:div w:id="631518968">
      <w:bodyDiv w:val="1"/>
      <w:marLeft w:val="0"/>
      <w:marRight w:val="0"/>
      <w:marTop w:val="0"/>
      <w:marBottom w:val="0"/>
      <w:divBdr>
        <w:top w:val="none" w:sz="0" w:space="0" w:color="auto"/>
        <w:left w:val="none" w:sz="0" w:space="0" w:color="auto"/>
        <w:bottom w:val="none" w:sz="0" w:space="0" w:color="auto"/>
        <w:right w:val="none" w:sz="0" w:space="0" w:color="auto"/>
      </w:divBdr>
    </w:div>
    <w:div w:id="634720812">
      <w:bodyDiv w:val="1"/>
      <w:marLeft w:val="0"/>
      <w:marRight w:val="0"/>
      <w:marTop w:val="0"/>
      <w:marBottom w:val="0"/>
      <w:divBdr>
        <w:top w:val="none" w:sz="0" w:space="0" w:color="auto"/>
        <w:left w:val="none" w:sz="0" w:space="0" w:color="auto"/>
        <w:bottom w:val="none" w:sz="0" w:space="0" w:color="auto"/>
        <w:right w:val="none" w:sz="0" w:space="0" w:color="auto"/>
      </w:divBdr>
    </w:div>
    <w:div w:id="650839206">
      <w:bodyDiv w:val="1"/>
      <w:marLeft w:val="0"/>
      <w:marRight w:val="0"/>
      <w:marTop w:val="0"/>
      <w:marBottom w:val="0"/>
      <w:divBdr>
        <w:top w:val="none" w:sz="0" w:space="0" w:color="auto"/>
        <w:left w:val="none" w:sz="0" w:space="0" w:color="auto"/>
        <w:bottom w:val="none" w:sz="0" w:space="0" w:color="auto"/>
        <w:right w:val="none" w:sz="0" w:space="0" w:color="auto"/>
      </w:divBdr>
    </w:div>
    <w:div w:id="732583151">
      <w:bodyDiv w:val="1"/>
      <w:marLeft w:val="0"/>
      <w:marRight w:val="0"/>
      <w:marTop w:val="0"/>
      <w:marBottom w:val="0"/>
      <w:divBdr>
        <w:top w:val="none" w:sz="0" w:space="0" w:color="auto"/>
        <w:left w:val="none" w:sz="0" w:space="0" w:color="auto"/>
        <w:bottom w:val="none" w:sz="0" w:space="0" w:color="auto"/>
        <w:right w:val="none" w:sz="0" w:space="0" w:color="auto"/>
      </w:divBdr>
      <w:divsChild>
        <w:div w:id="44990020">
          <w:marLeft w:val="0"/>
          <w:marRight w:val="0"/>
          <w:marTop w:val="0"/>
          <w:marBottom w:val="0"/>
          <w:divBdr>
            <w:top w:val="none" w:sz="0" w:space="0" w:color="auto"/>
            <w:left w:val="none" w:sz="0" w:space="0" w:color="auto"/>
            <w:bottom w:val="none" w:sz="0" w:space="0" w:color="auto"/>
            <w:right w:val="none" w:sz="0" w:space="0" w:color="auto"/>
          </w:divBdr>
        </w:div>
        <w:div w:id="58792511">
          <w:marLeft w:val="0"/>
          <w:marRight w:val="0"/>
          <w:marTop w:val="0"/>
          <w:marBottom w:val="0"/>
          <w:divBdr>
            <w:top w:val="none" w:sz="0" w:space="0" w:color="auto"/>
            <w:left w:val="none" w:sz="0" w:space="0" w:color="auto"/>
            <w:bottom w:val="none" w:sz="0" w:space="0" w:color="auto"/>
            <w:right w:val="none" w:sz="0" w:space="0" w:color="auto"/>
          </w:divBdr>
        </w:div>
        <w:div w:id="166484742">
          <w:marLeft w:val="0"/>
          <w:marRight w:val="0"/>
          <w:marTop w:val="0"/>
          <w:marBottom w:val="0"/>
          <w:divBdr>
            <w:top w:val="none" w:sz="0" w:space="0" w:color="auto"/>
            <w:left w:val="none" w:sz="0" w:space="0" w:color="auto"/>
            <w:bottom w:val="none" w:sz="0" w:space="0" w:color="auto"/>
            <w:right w:val="none" w:sz="0" w:space="0" w:color="auto"/>
          </w:divBdr>
        </w:div>
        <w:div w:id="196940531">
          <w:marLeft w:val="0"/>
          <w:marRight w:val="0"/>
          <w:marTop w:val="0"/>
          <w:marBottom w:val="0"/>
          <w:divBdr>
            <w:top w:val="none" w:sz="0" w:space="0" w:color="auto"/>
            <w:left w:val="none" w:sz="0" w:space="0" w:color="auto"/>
            <w:bottom w:val="none" w:sz="0" w:space="0" w:color="auto"/>
            <w:right w:val="none" w:sz="0" w:space="0" w:color="auto"/>
          </w:divBdr>
        </w:div>
        <w:div w:id="212616851">
          <w:marLeft w:val="0"/>
          <w:marRight w:val="0"/>
          <w:marTop w:val="0"/>
          <w:marBottom w:val="0"/>
          <w:divBdr>
            <w:top w:val="none" w:sz="0" w:space="0" w:color="auto"/>
            <w:left w:val="none" w:sz="0" w:space="0" w:color="auto"/>
            <w:bottom w:val="none" w:sz="0" w:space="0" w:color="auto"/>
            <w:right w:val="none" w:sz="0" w:space="0" w:color="auto"/>
          </w:divBdr>
        </w:div>
        <w:div w:id="238565022">
          <w:marLeft w:val="0"/>
          <w:marRight w:val="0"/>
          <w:marTop w:val="0"/>
          <w:marBottom w:val="0"/>
          <w:divBdr>
            <w:top w:val="none" w:sz="0" w:space="0" w:color="auto"/>
            <w:left w:val="none" w:sz="0" w:space="0" w:color="auto"/>
            <w:bottom w:val="none" w:sz="0" w:space="0" w:color="auto"/>
            <w:right w:val="none" w:sz="0" w:space="0" w:color="auto"/>
          </w:divBdr>
        </w:div>
        <w:div w:id="328874224">
          <w:marLeft w:val="0"/>
          <w:marRight w:val="0"/>
          <w:marTop w:val="0"/>
          <w:marBottom w:val="0"/>
          <w:divBdr>
            <w:top w:val="none" w:sz="0" w:space="0" w:color="auto"/>
            <w:left w:val="none" w:sz="0" w:space="0" w:color="auto"/>
            <w:bottom w:val="none" w:sz="0" w:space="0" w:color="auto"/>
            <w:right w:val="none" w:sz="0" w:space="0" w:color="auto"/>
          </w:divBdr>
        </w:div>
        <w:div w:id="628977777">
          <w:marLeft w:val="0"/>
          <w:marRight w:val="0"/>
          <w:marTop w:val="0"/>
          <w:marBottom w:val="0"/>
          <w:divBdr>
            <w:top w:val="none" w:sz="0" w:space="0" w:color="auto"/>
            <w:left w:val="none" w:sz="0" w:space="0" w:color="auto"/>
            <w:bottom w:val="none" w:sz="0" w:space="0" w:color="auto"/>
            <w:right w:val="none" w:sz="0" w:space="0" w:color="auto"/>
          </w:divBdr>
        </w:div>
        <w:div w:id="662244553">
          <w:marLeft w:val="0"/>
          <w:marRight w:val="0"/>
          <w:marTop w:val="0"/>
          <w:marBottom w:val="0"/>
          <w:divBdr>
            <w:top w:val="none" w:sz="0" w:space="0" w:color="auto"/>
            <w:left w:val="none" w:sz="0" w:space="0" w:color="auto"/>
            <w:bottom w:val="none" w:sz="0" w:space="0" w:color="auto"/>
            <w:right w:val="none" w:sz="0" w:space="0" w:color="auto"/>
          </w:divBdr>
        </w:div>
        <w:div w:id="664670124">
          <w:marLeft w:val="0"/>
          <w:marRight w:val="0"/>
          <w:marTop w:val="0"/>
          <w:marBottom w:val="0"/>
          <w:divBdr>
            <w:top w:val="none" w:sz="0" w:space="0" w:color="auto"/>
            <w:left w:val="none" w:sz="0" w:space="0" w:color="auto"/>
            <w:bottom w:val="none" w:sz="0" w:space="0" w:color="auto"/>
            <w:right w:val="none" w:sz="0" w:space="0" w:color="auto"/>
          </w:divBdr>
        </w:div>
        <w:div w:id="743836886">
          <w:marLeft w:val="0"/>
          <w:marRight w:val="0"/>
          <w:marTop w:val="0"/>
          <w:marBottom w:val="0"/>
          <w:divBdr>
            <w:top w:val="none" w:sz="0" w:space="0" w:color="auto"/>
            <w:left w:val="none" w:sz="0" w:space="0" w:color="auto"/>
            <w:bottom w:val="none" w:sz="0" w:space="0" w:color="auto"/>
            <w:right w:val="none" w:sz="0" w:space="0" w:color="auto"/>
          </w:divBdr>
        </w:div>
        <w:div w:id="785926625">
          <w:marLeft w:val="0"/>
          <w:marRight w:val="0"/>
          <w:marTop w:val="0"/>
          <w:marBottom w:val="0"/>
          <w:divBdr>
            <w:top w:val="none" w:sz="0" w:space="0" w:color="auto"/>
            <w:left w:val="none" w:sz="0" w:space="0" w:color="auto"/>
            <w:bottom w:val="none" w:sz="0" w:space="0" w:color="auto"/>
            <w:right w:val="none" w:sz="0" w:space="0" w:color="auto"/>
          </w:divBdr>
        </w:div>
        <w:div w:id="1058823947">
          <w:marLeft w:val="0"/>
          <w:marRight w:val="0"/>
          <w:marTop w:val="0"/>
          <w:marBottom w:val="0"/>
          <w:divBdr>
            <w:top w:val="none" w:sz="0" w:space="0" w:color="auto"/>
            <w:left w:val="none" w:sz="0" w:space="0" w:color="auto"/>
            <w:bottom w:val="none" w:sz="0" w:space="0" w:color="auto"/>
            <w:right w:val="none" w:sz="0" w:space="0" w:color="auto"/>
          </w:divBdr>
        </w:div>
        <w:div w:id="1062363858">
          <w:marLeft w:val="0"/>
          <w:marRight w:val="0"/>
          <w:marTop w:val="0"/>
          <w:marBottom w:val="0"/>
          <w:divBdr>
            <w:top w:val="none" w:sz="0" w:space="0" w:color="auto"/>
            <w:left w:val="none" w:sz="0" w:space="0" w:color="auto"/>
            <w:bottom w:val="none" w:sz="0" w:space="0" w:color="auto"/>
            <w:right w:val="none" w:sz="0" w:space="0" w:color="auto"/>
          </w:divBdr>
        </w:div>
        <w:div w:id="1155218841">
          <w:marLeft w:val="0"/>
          <w:marRight w:val="0"/>
          <w:marTop w:val="0"/>
          <w:marBottom w:val="0"/>
          <w:divBdr>
            <w:top w:val="none" w:sz="0" w:space="0" w:color="auto"/>
            <w:left w:val="none" w:sz="0" w:space="0" w:color="auto"/>
            <w:bottom w:val="none" w:sz="0" w:space="0" w:color="auto"/>
            <w:right w:val="none" w:sz="0" w:space="0" w:color="auto"/>
          </w:divBdr>
        </w:div>
        <w:div w:id="1205825726">
          <w:marLeft w:val="0"/>
          <w:marRight w:val="0"/>
          <w:marTop w:val="0"/>
          <w:marBottom w:val="0"/>
          <w:divBdr>
            <w:top w:val="none" w:sz="0" w:space="0" w:color="auto"/>
            <w:left w:val="none" w:sz="0" w:space="0" w:color="auto"/>
            <w:bottom w:val="none" w:sz="0" w:space="0" w:color="auto"/>
            <w:right w:val="none" w:sz="0" w:space="0" w:color="auto"/>
          </w:divBdr>
        </w:div>
        <w:div w:id="1214999606">
          <w:marLeft w:val="0"/>
          <w:marRight w:val="0"/>
          <w:marTop w:val="0"/>
          <w:marBottom w:val="0"/>
          <w:divBdr>
            <w:top w:val="none" w:sz="0" w:space="0" w:color="auto"/>
            <w:left w:val="none" w:sz="0" w:space="0" w:color="auto"/>
            <w:bottom w:val="none" w:sz="0" w:space="0" w:color="auto"/>
            <w:right w:val="none" w:sz="0" w:space="0" w:color="auto"/>
          </w:divBdr>
        </w:div>
        <w:div w:id="1331569046">
          <w:marLeft w:val="0"/>
          <w:marRight w:val="0"/>
          <w:marTop w:val="0"/>
          <w:marBottom w:val="0"/>
          <w:divBdr>
            <w:top w:val="none" w:sz="0" w:space="0" w:color="auto"/>
            <w:left w:val="none" w:sz="0" w:space="0" w:color="auto"/>
            <w:bottom w:val="none" w:sz="0" w:space="0" w:color="auto"/>
            <w:right w:val="none" w:sz="0" w:space="0" w:color="auto"/>
          </w:divBdr>
        </w:div>
        <w:div w:id="1362587710">
          <w:marLeft w:val="0"/>
          <w:marRight w:val="0"/>
          <w:marTop w:val="0"/>
          <w:marBottom w:val="0"/>
          <w:divBdr>
            <w:top w:val="none" w:sz="0" w:space="0" w:color="auto"/>
            <w:left w:val="none" w:sz="0" w:space="0" w:color="auto"/>
            <w:bottom w:val="none" w:sz="0" w:space="0" w:color="auto"/>
            <w:right w:val="none" w:sz="0" w:space="0" w:color="auto"/>
          </w:divBdr>
        </w:div>
        <w:div w:id="1422798590">
          <w:marLeft w:val="0"/>
          <w:marRight w:val="0"/>
          <w:marTop w:val="0"/>
          <w:marBottom w:val="0"/>
          <w:divBdr>
            <w:top w:val="none" w:sz="0" w:space="0" w:color="auto"/>
            <w:left w:val="none" w:sz="0" w:space="0" w:color="auto"/>
            <w:bottom w:val="none" w:sz="0" w:space="0" w:color="auto"/>
            <w:right w:val="none" w:sz="0" w:space="0" w:color="auto"/>
          </w:divBdr>
        </w:div>
        <w:div w:id="1480031653">
          <w:marLeft w:val="0"/>
          <w:marRight w:val="0"/>
          <w:marTop w:val="0"/>
          <w:marBottom w:val="0"/>
          <w:divBdr>
            <w:top w:val="none" w:sz="0" w:space="0" w:color="auto"/>
            <w:left w:val="none" w:sz="0" w:space="0" w:color="auto"/>
            <w:bottom w:val="none" w:sz="0" w:space="0" w:color="auto"/>
            <w:right w:val="none" w:sz="0" w:space="0" w:color="auto"/>
          </w:divBdr>
        </w:div>
        <w:div w:id="1563298319">
          <w:marLeft w:val="0"/>
          <w:marRight w:val="0"/>
          <w:marTop w:val="0"/>
          <w:marBottom w:val="0"/>
          <w:divBdr>
            <w:top w:val="none" w:sz="0" w:space="0" w:color="auto"/>
            <w:left w:val="none" w:sz="0" w:space="0" w:color="auto"/>
            <w:bottom w:val="none" w:sz="0" w:space="0" w:color="auto"/>
            <w:right w:val="none" w:sz="0" w:space="0" w:color="auto"/>
          </w:divBdr>
        </w:div>
        <w:div w:id="1603681296">
          <w:marLeft w:val="0"/>
          <w:marRight w:val="0"/>
          <w:marTop w:val="0"/>
          <w:marBottom w:val="0"/>
          <w:divBdr>
            <w:top w:val="none" w:sz="0" w:space="0" w:color="auto"/>
            <w:left w:val="none" w:sz="0" w:space="0" w:color="auto"/>
            <w:bottom w:val="none" w:sz="0" w:space="0" w:color="auto"/>
            <w:right w:val="none" w:sz="0" w:space="0" w:color="auto"/>
          </w:divBdr>
        </w:div>
        <w:div w:id="1957056249">
          <w:marLeft w:val="0"/>
          <w:marRight w:val="0"/>
          <w:marTop w:val="0"/>
          <w:marBottom w:val="0"/>
          <w:divBdr>
            <w:top w:val="none" w:sz="0" w:space="0" w:color="auto"/>
            <w:left w:val="none" w:sz="0" w:space="0" w:color="auto"/>
            <w:bottom w:val="none" w:sz="0" w:space="0" w:color="auto"/>
            <w:right w:val="none" w:sz="0" w:space="0" w:color="auto"/>
          </w:divBdr>
        </w:div>
        <w:div w:id="2030568715">
          <w:marLeft w:val="0"/>
          <w:marRight w:val="0"/>
          <w:marTop w:val="0"/>
          <w:marBottom w:val="0"/>
          <w:divBdr>
            <w:top w:val="none" w:sz="0" w:space="0" w:color="auto"/>
            <w:left w:val="none" w:sz="0" w:space="0" w:color="auto"/>
            <w:bottom w:val="none" w:sz="0" w:space="0" w:color="auto"/>
            <w:right w:val="none" w:sz="0" w:space="0" w:color="auto"/>
          </w:divBdr>
        </w:div>
        <w:div w:id="2129663955">
          <w:marLeft w:val="0"/>
          <w:marRight w:val="0"/>
          <w:marTop w:val="0"/>
          <w:marBottom w:val="0"/>
          <w:divBdr>
            <w:top w:val="none" w:sz="0" w:space="0" w:color="auto"/>
            <w:left w:val="none" w:sz="0" w:space="0" w:color="auto"/>
            <w:bottom w:val="none" w:sz="0" w:space="0" w:color="auto"/>
            <w:right w:val="none" w:sz="0" w:space="0" w:color="auto"/>
          </w:divBdr>
        </w:div>
      </w:divsChild>
    </w:div>
    <w:div w:id="745299013">
      <w:bodyDiv w:val="1"/>
      <w:marLeft w:val="0"/>
      <w:marRight w:val="0"/>
      <w:marTop w:val="0"/>
      <w:marBottom w:val="0"/>
      <w:divBdr>
        <w:top w:val="none" w:sz="0" w:space="0" w:color="auto"/>
        <w:left w:val="none" w:sz="0" w:space="0" w:color="auto"/>
        <w:bottom w:val="none" w:sz="0" w:space="0" w:color="auto"/>
        <w:right w:val="none" w:sz="0" w:space="0" w:color="auto"/>
      </w:divBdr>
    </w:div>
    <w:div w:id="809054646">
      <w:bodyDiv w:val="1"/>
      <w:marLeft w:val="0"/>
      <w:marRight w:val="0"/>
      <w:marTop w:val="0"/>
      <w:marBottom w:val="0"/>
      <w:divBdr>
        <w:top w:val="none" w:sz="0" w:space="0" w:color="auto"/>
        <w:left w:val="none" w:sz="0" w:space="0" w:color="auto"/>
        <w:bottom w:val="none" w:sz="0" w:space="0" w:color="auto"/>
        <w:right w:val="none" w:sz="0" w:space="0" w:color="auto"/>
      </w:divBdr>
    </w:div>
    <w:div w:id="824052294">
      <w:bodyDiv w:val="1"/>
      <w:marLeft w:val="0"/>
      <w:marRight w:val="0"/>
      <w:marTop w:val="0"/>
      <w:marBottom w:val="0"/>
      <w:divBdr>
        <w:top w:val="none" w:sz="0" w:space="0" w:color="auto"/>
        <w:left w:val="none" w:sz="0" w:space="0" w:color="auto"/>
        <w:bottom w:val="none" w:sz="0" w:space="0" w:color="auto"/>
        <w:right w:val="none" w:sz="0" w:space="0" w:color="auto"/>
      </w:divBdr>
    </w:div>
    <w:div w:id="889418912">
      <w:bodyDiv w:val="1"/>
      <w:marLeft w:val="0"/>
      <w:marRight w:val="0"/>
      <w:marTop w:val="0"/>
      <w:marBottom w:val="0"/>
      <w:divBdr>
        <w:top w:val="none" w:sz="0" w:space="0" w:color="auto"/>
        <w:left w:val="none" w:sz="0" w:space="0" w:color="auto"/>
        <w:bottom w:val="none" w:sz="0" w:space="0" w:color="auto"/>
        <w:right w:val="none" w:sz="0" w:space="0" w:color="auto"/>
      </w:divBdr>
    </w:div>
    <w:div w:id="901869862">
      <w:bodyDiv w:val="1"/>
      <w:marLeft w:val="0"/>
      <w:marRight w:val="0"/>
      <w:marTop w:val="0"/>
      <w:marBottom w:val="0"/>
      <w:divBdr>
        <w:top w:val="none" w:sz="0" w:space="0" w:color="auto"/>
        <w:left w:val="none" w:sz="0" w:space="0" w:color="auto"/>
        <w:bottom w:val="none" w:sz="0" w:space="0" w:color="auto"/>
        <w:right w:val="none" w:sz="0" w:space="0" w:color="auto"/>
      </w:divBdr>
    </w:div>
    <w:div w:id="915743449">
      <w:bodyDiv w:val="1"/>
      <w:marLeft w:val="0"/>
      <w:marRight w:val="0"/>
      <w:marTop w:val="0"/>
      <w:marBottom w:val="0"/>
      <w:divBdr>
        <w:top w:val="none" w:sz="0" w:space="0" w:color="auto"/>
        <w:left w:val="none" w:sz="0" w:space="0" w:color="auto"/>
        <w:bottom w:val="none" w:sz="0" w:space="0" w:color="auto"/>
        <w:right w:val="none" w:sz="0" w:space="0" w:color="auto"/>
      </w:divBdr>
    </w:div>
    <w:div w:id="919018934">
      <w:bodyDiv w:val="1"/>
      <w:marLeft w:val="0"/>
      <w:marRight w:val="0"/>
      <w:marTop w:val="0"/>
      <w:marBottom w:val="0"/>
      <w:divBdr>
        <w:top w:val="none" w:sz="0" w:space="0" w:color="auto"/>
        <w:left w:val="none" w:sz="0" w:space="0" w:color="auto"/>
        <w:bottom w:val="none" w:sz="0" w:space="0" w:color="auto"/>
        <w:right w:val="none" w:sz="0" w:space="0" w:color="auto"/>
      </w:divBdr>
    </w:div>
    <w:div w:id="955285271">
      <w:bodyDiv w:val="1"/>
      <w:marLeft w:val="0"/>
      <w:marRight w:val="0"/>
      <w:marTop w:val="0"/>
      <w:marBottom w:val="0"/>
      <w:divBdr>
        <w:top w:val="none" w:sz="0" w:space="0" w:color="auto"/>
        <w:left w:val="none" w:sz="0" w:space="0" w:color="auto"/>
        <w:bottom w:val="none" w:sz="0" w:space="0" w:color="auto"/>
        <w:right w:val="none" w:sz="0" w:space="0" w:color="auto"/>
      </w:divBdr>
    </w:div>
    <w:div w:id="1010982446">
      <w:bodyDiv w:val="1"/>
      <w:marLeft w:val="0"/>
      <w:marRight w:val="0"/>
      <w:marTop w:val="0"/>
      <w:marBottom w:val="0"/>
      <w:divBdr>
        <w:top w:val="none" w:sz="0" w:space="0" w:color="auto"/>
        <w:left w:val="none" w:sz="0" w:space="0" w:color="auto"/>
        <w:bottom w:val="none" w:sz="0" w:space="0" w:color="auto"/>
        <w:right w:val="none" w:sz="0" w:space="0" w:color="auto"/>
      </w:divBdr>
    </w:div>
    <w:div w:id="1180125488">
      <w:bodyDiv w:val="1"/>
      <w:marLeft w:val="0"/>
      <w:marRight w:val="0"/>
      <w:marTop w:val="0"/>
      <w:marBottom w:val="0"/>
      <w:divBdr>
        <w:top w:val="none" w:sz="0" w:space="0" w:color="auto"/>
        <w:left w:val="none" w:sz="0" w:space="0" w:color="auto"/>
        <w:bottom w:val="none" w:sz="0" w:space="0" w:color="auto"/>
        <w:right w:val="none" w:sz="0" w:space="0" w:color="auto"/>
      </w:divBdr>
    </w:div>
    <w:div w:id="1249727787">
      <w:bodyDiv w:val="1"/>
      <w:marLeft w:val="0"/>
      <w:marRight w:val="0"/>
      <w:marTop w:val="0"/>
      <w:marBottom w:val="0"/>
      <w:divBdr>
        <w:top w:val="none" w:sz="0" w:space="0" w:color="auto"/>
        <w:left w:val="none" w:sz="0" w:space="0" w:color="auto"/>
        <w:bottom w:val="none" w:sz="0" w:space="0" w:color="auto"/>
        <w:right w:val="none" w:sz="0" w:space="0" w:color="auto"/>
      </w:divBdr>
    </w:div>
    <w:div w:id="1349016223">
      <w:bodyDiv w:val="1"/>
      <w:marLeft w:val="0"/>
      <w:marRight w:val="0"/>
      <w:marTop w:val="0"/>
      <w:marBottom w:val="0"/>
      <w:divBdr>
        <w:top w:val="none" w:sz="0" w:space="0" w:color="auto"/>
        <w:left w:val="none" w:sz="0" w:space="0" w:color="auto"/>
        <w:bottom w:val="none" w:sz="0" w:space="0" w:color="auto"/>
        <w:right w:val="none" w:sz="0" w:space="0" w:color="auto"/>
      </w:divBdr>
    </w:div>
    <w:div w:id="1390610441">
      <w:bodyDiv w:val="1"/>
      <w:marLeft w:val="0"/>
      <w:marRight w:val="0"/>
      <w:marTop w:val="0"/>
      <w:marBottom w:val="0"/>
      <w:divBdr>
        <w:top w:val="none" w:sz="0" w:space="0" w:color="auto"/>
        <w:left w:val="none" w:sz="0" w:space="0" w:color="auto"/>
        <w:bottom w:val="none" w:sz="0" w:space="0" w:color="auto"/>
        <w:right w:val="none" w:sz="0" w:space="0" w:color="auto"/>
      </w:divBdr>
    </w:div>
    <w:div w:id="1414467578">
      <w:bodyDiv w:val="1"/>
      <w:marLeft w:val="0"/>
      <w:marRight w:val="0"/>
      <w:marTop w:val="0"/>
      <w:marBottom w:val="0"/>
      <w:divBdr>
        <w:top w:val="none" w:sz="0" w:space="0" w:color="auto"/>
        <w:left w:val="none" w:sz="0" w:space="0" w:color="auto"/>
        <w:bottom w:val="none" w:sz="0" w:space="0" w:color="auto"/>
        <w:right w:val="none" w:sz="0" w:space="0" w:color="auto"/>
      </w:divBdr>
      <w:divsChild>
        <w:div w:id="655453821">
          <w:marLeft w:val="0"/>
          <w:marRight w:val="0"/>
          <w:marTop w:val="0"/>
          <w:marBottom w:val="0"/>
          <w:divBdr>
            <w:top w:val="none" w:sz="0" w:space="0" w:color="auto"/>
            <w:left w:val="none" w:sz="0" w:space="0" w:color="auto"/>
            <w:bottom w:val="none" w:sz="0" w:space="0" w:color="auto"/>
            <w:right w:val="none" w:sz="0" w:space="0" w:color="auto"/>
          </w:divBdr>
        </w:div>
      </w:divsChild>
    </w:div>
    <w:div w:id="1424112554">
      <w:bodyDiv w:val="1"/>
      <w:marLeft w:val="0"/>
      <w:marRight w:val="0"/>
      <w:marTop w:val="0"/>
      <w:marBottom w:val="0"/>
      <w:divBdr>
        <w:top w:val="none" w:sz="0" w:space="0" w:color="auto"/>
        <w:left w:val="none" w:sz="0" w:space="0" w:color="auto"/>
        <w:bottom w:val="none" w:sz="0" w:space="0" w:color="auto"/>
        <w:right w:val="none" w:sz="0" w:space="0" w:color="auto"/>
      </w:divBdr>
    </w:div>
    <w:div w:id="1461997446">
      <w:bodyDiv w:val="1"/>
      <w:marLeft w:val="0"/>
      <w:marRight w:val="0"/>
      <w:marTop w:val="0"/>
      <w:marBottom w:val="0"/>
      <w:divBdr>
        <w:top w:val="none" w:sz="0" w:space="0" w:color="auto"/>
        <w:left w:val="none" w:sz="0" w:space="0" w:color="auto"/>
        <w:bottom w:val="none" w:sz="0" w:space="0" w:color="auto"/>
        <w:right w:val="none" w:sz="0" w:space="0" w:color="auto"/>
      </w:divBdr>
    </w:div>
    <w:div w:id="1505196242">
      <w:bodyDiv w:val="1"/>
      <w:marLeft w:val="0"/>
      <w:marRight w:val="0"/>
      <w:marTop w:val="0"/>
      <w:marBottom w:val="0"/>
      <w:divBdr>
        <w:top w:val="none" w:sz="0" w:space="0" w:color="auto"/>
        <w:left w:val="none" w:sz="0" w:space="0" w:color="auto"/>
        <w:bottom w:val="none" w:sz="0" w:space="0" w:color="auto"/>
        <w:right w:val="none" w:sz="0" w:space="0" w:color="auto"/>
      </w:divBdr>
    </w:div>
    <w:div w:id="1583562596">
      <w:bodyDiv w:val="1"/>
      <w:marLeft w:val="0"/>
      <w:marRight w:val="0"/>
      <w:marTop w:val="0"/>
      <w:marBottom w:val="0"/>
      <w:divBdr>
        <w:top w:val="none" w:sz="0" w:space="0" w:color="auto"/>
        <w:left w:val="none" w:sz="0" w:space="0" w:color="auto"/>
        <w:bottom w:val="none" w:sz="0" w:space="0" w:color="auto"/>
        <w:right w:val="none" w:sz="0" w:space="0" w:color="auto"/>
      </w:divBdr>
    </w:div>
    <w:div w:id="1632519354">
      <w:bodyDiv w:val="1"/>
      <w:marLeft w:val="0"/>
      <w:marRight w:val="0"/>
      <w:marTop w:val="0"/>
      <w:marBottom w:val="0"/>
      <w:divBdr>
        <w:top w:val="none" w:sz="0" w:space="0" w:color="auto"/>
        <w:left w:val="none" w:sz="0" w:space="0" w:color="auto"/>
        <w:bottom w:val="none" w:sz="0" w:space="0" w:color="auto"/>
        <w:right w:val="none" w:sz="0" w:space="0" w:color="auto"/>
      </w:divBdr>
    </w:div>
    <w:div w:id="1655180837">
      <w:bodyDiv w:val="1"/>
      <w:marLeft w:val="0"/>
      <w:marRight w:val="0"/>
      <w:marTop w:val="0"/>
      <w:marBottom w:val="0"/>
      <w:divBdr>
        <w:top w:val="none" w:sz="0" w:space="0" w:color="auto"/>
        <w:left w:val="none" w:sz="0" w:space="0" w:color="auto"/>
        <w:bottom w:val="none" w:sz="0" w:space="0" w:color="auto"/>
        <w:right w:val="none" w:sz="0" w:space="0" w:color="auto"/>
      </w:divBdr>
    </w:div>
    <w:div w:id="1698774660">
      <w:bodyDiv w:val="1"/>
      <w:marLeft w:val="0"/>
      <w:marRight w:val="0"/>
      <w:marTop w:val="0"/>
      <w:marBottom w:val="0"/>
      <w:divBdr>
        <w:top w:val="none" w:sz="0" w:space="0" w:color="auto"/>
        <w:left w:val="none" w:sz="0" w:space="0" w:color="auto"/>
        <w:bottom w:val="none" w:sz="0" w:space="0" w:color="auto"/>
        <w:right w:val="none" w:sz="0" w:space="0" w:color="auto"/>
      </w:divBdr>
    </w:div>
    <w:div w:id="1710687726">
      <w:bodyDiv w:val="1"/>
      <w:marLeft w:val="0"/>
      <w:marRight w:val="0"/>
      <w:marTop w:val="0"/>
      <w:marBottom w:val="0"/>
      <w:divBdr>
        <w:top w:val="none" w:sz="0" w:space="0" w:color="auto"/>
        <w:left w:val="none" w:sz="0" w:space="0" w:color="auto"/>
        <w:bottom w:val="none" w:sz="0" w:space="0" w:color="auto"/>
        <w:right w:val="none" w:sz="0" w:space="0" w:color="auto"/>
      </w:divBdr>
    </w:div>
    <w:div w:id="1719669877">
      <w:bodyDiv w:val="1"/>
      <w:marLeft w:val="0"/>
      <w:marRight w:val="0"/>
      <w:marTop w:val="0"/>
      <w:marBottom w:val="0"/>
      <w:divBdr>
        <w:top w:val="none" w:sz="0" w:space="0" w:color="auto"/>
        <w:left w:val="none" w:sz="0" w:space="0" w:color="auto"/>
        <w:bottom w:val="none" w:sz="0" w:space="0" w:color="auto"/>
        <w:right w:val="none" w:sz="0" w:space="0" w:color="auto"/>
      </w:divBdr>
    </w:div>
    <w:div w:id="1782147931">
      <w:bodyDiv w:val="1"/>
      <w:marLeft w:val="0"/>
      <w:marRight w:val="0"/>
      <w:marTop w:val="0"/>
      <w:marBottom w:val="0"/>
      <w:divBdr>
        <w:top w:val="none" w:sz="0" w:space="0" w:color="auto"/>
        <w:left w:val="none" w:sz="0" w:space="0" w:color="auto"/>
        <w:bottom w:val="none" w:sz="0" w:space="0" w:color="auto"/>
        <w:right w:val="none" w:sz="0" w:space="0" w:color="auto"/>
      </w:divBdr>
    </w:div>
    <w:div w:id="1850175925">
      <w:bodyDiv w:val="1"/>
      <w:marLeft w:val="0"/>
      <w:marRight w:val="0"/>
      <w:marTop w:val="0"/>
      <w:marBottom w:val="0"/>
      <w:divBdr>
        <w:top w:val="none" w:sz="0" w:space="0" w:color="auto"/>
        <w:left w:val="none" w:sz="0" w:space="0" w:color="auto"/>
        <w:bottom w:val="none" w:sz="0" w:space="0" w:color="auto"/>
        <w:right w:val="none" w:sz="0" w:space="0" w:color="auto"/>
      </w:divBdr>
      <w:divsChild>
        <w:div w:id="888961225">
          <w:marLeft w:val="0"/>
          <w:marRight w:val="0"/>
          <w:marTop w:val="0"/>
          <w:marBottom w:val="0"/>
          <w:divBdr>
            <w:top w:val="none" w:sz="0" w:space="0" w:color="auto"/>
            <w:left w:val="none" w:sz="0" w:space="0" w:color="auto"/>
            <w:bottom w:val="none" w:sz="0" w:space="0" w:color="auto"/>
            <w:right w:val="none" w:sz="0" w:space="0" w:color="auto"/>
          </w:divBdr>
        </w:div>
      </w:divsChild>
    </w:div>
    <w:div w:id="1931699813">
      <w:bodyDiv w:val="1"/>
      <w:marLeft w:val="0"/>
      <w:marRight w:val="0"/>
      <w:marTop w:val="0"/>
      <w:marBottom w:val="0"/>
      <w:divBdr>
        <w:top w:val="none" w:sz="0" w:space="0" w:color="auto"/>
        <w:left w:val="none" w:sz="0" w:space="0" w:color="auto"/>
        <w:bottom w:val="none" w:sz="0" w:space="0" w:color="auto"/>
        <w:right w:val="none" w:sz="0" w:space="0" w:color="auto"/>
      </w:divBdr>
    </w:div>
    <w:div w:id="1977759857">
      <w:bodyDiv w:val="1"/>
      <w:marLeft w:val="0"/>
      <w:marRight w:val="0"/>
      <w:marTop w:val="0"/>
      <w:marBottom w:val="0"/>
      <w:divBdr>
        <w:top w:val="none" w:sz="0" w:space="0" w:color="auto"/>
        <w:left w:val="none" w:sz="0" w:space="0" w:color="auto"/>
        <w:bottom w:val="none" w:sz="0" w:space="0" w:color="auto"/>
        <w:right w:val="none" w:sz="0" w:space="0" w:color="auto"/>
      </w:divBdr>
    </w:div>
    <w:div w:id="2019387609">
      <w:bodyDiv w:val="1"/>
      <w:marLeft w:val="0"/>
      <w:marRight w:val="0"/>
      <w:marTop w:val="0"/>
      <w:marBottom w:val="0"/>
      <w:divBdr>
        <w:top w:val="none" w:sz="0" w:space="0" w:color="auto"/>
        <w:left w:val="none" w:sz="0" w:space="0" w:color="auto"/>
        <w:bottom w:val="none" w:sz="0" w:space="0" w:color="auto"/>
        <w:right w:val="none" w:sz="0" w:space="0" w:color="auto"/>
      </w:divBdr>
    </w:div>
    <w:div w:id="203916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safetywellbeing@acu.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acu.edu.au\msm\Personnel-Share\WHS%20&amp;%20Wellbeing\WHS%20Reports\Claims%20and%20Injury%20Data\Master%20Data\LTIFR%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acu.edu.au\msm\personnel-share\WHS%20&amp;%20Wellbeing\WHS%20Reports\Claims%20and%20Injury%20Data\Master%20Data\LTIF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a:t>LTIFR 12 Month Rolling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3705349354928573"/>
          <c:y val="6.0185185185185182E-2"/>
          <c:w val="0.85916260849588832"/>
          <c:h val="0.8416746864975212"/>
        </c:manualLayout>
      </c:layout>
      <c:lineChart>
        <c:grouping val="standard"/>
        <c:varyColors val="0"/>
        <c:ser>
          <c:idx val="0"/>
          <c:order val="0"/>
          <c:tx>
            <c:strRef>
              <c:f>Graphs!$C$26</c:f>
              <c:strCache>
                <c:ptCount val="1"/>
                <c:pt idx="0">
                  <c:v>ACU OVERALL</c:v>
                </c:pt>
              </c:strCache>
            </c:strRef>
          </c:tx>
          <c:spPr>
            <a:ln w="34925" cap="rnd">
              <a:solidFill>
                <a:srgbClr val="7030A0"/>
              </a:solidFill>
              <a:round/>
            </a:ln>
            <a:effectLst>
              <a:outerShdw blurRad="57150" dist="19050" dir="5400000" algn="ctr" rotWithShape="0">
                <a:srgbClr val="000000">
                  <a:alpha val="63000"/>
                </a:srgbClr>
              </a:outerShdw>
            </a:effectLst>
          </c:spPr>
          <c:marker>
            <c:symbol val="square"/>
            <c:size val="5"/>
            <c:spPr>
              <a:solidFill>
                <a:srgbClr val="FFFF0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Graphs!$C$36:$C$38</c:f>
              <c:numCache>
                <c:formatCode>0.00</c:formatCode>
                <c:ptCount val="3"/>
                <c:pt idx="0">
                  <c:v>3.2524938167394453</c:v>
                </c:pt>
                <c:pt idx="1">
                  <c:v>2.9627231777058376</c:v>
                </c:pt>
                <c:pt idx="2">
                  <c:v>3.2688207415293848</c:v>
                </c:pt>
              </c:numCache>
            </c:numRef>
          </c:val>
          <c:smooth val="0"/>
          <c:extLst>
            <c:ext xmlns:c16="http://schemas.microsoft.com/office/drawing/2014/chart" uri="{C3380CC4-5D6E-409C-BE32-E72D297353CC}">
              <c16:uniqueId val="{00000000-F39B-48A6-BB72-526A3D7A9F0E}"/>
            </c:ext>
          </c:extLst>
        </c:ser>
        <c:ser>
          <c:idx val="1"/>
          <c:order val="1"/>
          <c:tx>
            <c:strRef>
              <c:f>Graphs!$D$26</c:f>
              <c:strCache>
                <c:ptCount val="1"/>
                <c:pt idx="0">
                  <c:v>COO</c:v>
                </c:pt>
              </c:strCache>
            </c:strRef>
          </c:tx>
          <c:spPr>
            <a:ln w="34925" cap="rnd">
              <a:solidFill>
                <a:schemeClr val="accent2"/>
              </a:solidFill>
              <a:round/>
            </a:ln>
            <a:effectLst>
              <a:outerShdw blurRad="57150" dist="19050" dir="5400000" algn="ctr" rotWithShape="0">
                <a:srgbClr val="000000">
                  <a:alpha val="63000"/>
                </a:srgbClr>
              </a:outerShdw>
            </a:effectLst>
          </c:spPr>
          <c:marker>
            <c:symbol val="square"/>
            <c:size val="5"/>
            <c:spPr>
              <a:solidFill>
                <a:srgbClr val="00B0F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Graphs!$D$36:$D$38</c:f>
              <c:numCache>
                <c:formatCode>0.00</c:formatCode>
                <c:ptCount val="3"/>
                <c:pt idx="0">
                  <c:v>2.6203587092888623</c:v>
                </c:pt>
                <c:pt idx="1">
                  <c:v>2.6439837887306772</c:v>
                </c:pt>
                <c:pt idx="2">
                  <c:v>3.9940244069506137</c:v>
                </c:pt>
              </c:numCache>
            </c:numRef>
          </c:val>
          <c:smooth val="0"/>
          <c:extLst>
            <c:ext xmlns:c16="http://schemas.microsoft.com/office/drawing/2014/chart" uri="{C3380CC4-5D6E-409C-BE32-E72D297353CC}">
              <c16:uniqueId val="{00000001-F39B-48A6-BB72-526A3D7A9F0E}"/>
            </c:ext>
          </c:extLst>
        </c:ser>
        <c:ser>
          <c:idx val="2"/>
          <c:order val="2"/>
          <c:tx>
            <c:strRef>
              <c:f>Graphs!$E$26</c:f>
              <c:strCache>
                <c:ptCount val="1"/>
                <c:pt idx="0">
                  <c:v>DVC Ethics</c:v>
                </c:pt>
              </c:strCache>
            </c:strRef>
          </c:tx>
          <c:spPr>
            <a:ln w="34925" cap="rnd">
              <a:solidFill>
                <a:schemeClr val="accent3"/>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Graphs!$E$36:$E$38</c:f>
              <c:numCache>
                <c:formatCode>0.00</c:formatCode>
                <c:ptCount val="3"/>
                <c:pt idx="0">
                  <c:v>0</c:v>
                </c:pt>
                <c:pt idx="1">
                  <c:v>0</c:v>
                </c:pt>
                <c:pt idx="2">
                  <c:v>0</c:v>
                </c:pt>
              </c:numCache>
            </c:numRef>
          </c:val>
          <c:smooth val="0"/>
          <c:extLst>
            <c:ext xmlns:c16="http://schemas.microsoft.com/office/drawing/2014/chart" uri="{C3380CC4-5D6E-409C-BE32-E72D297353CC}">
              <c16:uniqueId val="{00000002-F39B-48A6-BB72-526A3D7A9F0E}"/>
            </c:ext>
          </c:extLst>
        </c:ser>
        <c:ser>
          <c:idx val="3"/>
          <c:order val="3"/>
          <c:tx>
            <c:strRef>
              <c:f>Graphs!$F$26</c:f>
              <c:strCache>
                <c:ptCount val="1"/>
                <c:pt idx="0">
                  <c:v>DVCRE</c:v>
                </c:pt>
              </c:strCache>
            </c:strRef>
          </c:tx>
          <c:spPr>
            <a:ln w="34925" cap="rnd">
              <a:solidFill>
                <a:schemeClr val="accent4"/>
              </a:solidFill>
              <a:round/>
            </a:ln>
            <a:effectLst>
              <a:outerShdw blurRad="57150" dist="19050" dir="5400000" algn="ctr" rotWithShape="0">
                <a:srgbClr val="000000">
                  <a:alpha val="63000"/>
                </a:srgbClr>
              </a:outerShdw>
            </a:effectLst>
          </c:spPr>
          <c:marker>
            <c:symbol val="square"/>
            <c:size val="5"/>
            <c:spPr>
              <a:solidFill>
                <a:srgbClr val="92D05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Graphs!$F$36:$F$38</c:f>
              <c:numCache>
                <c:formatCode>0.00</c:formatCode>
                <c:ptCount val="3"/>
                <c:pt idx="0">
                  <c:v>16.031611773359177</c:v>
                </c:pt>
                <c:pt idx="1">
                  <c:v>0</c:v>
                </c:pt>
                <c:pt idx="2">
                  <c:v>0</c:v>
                </c:pt>
              </c:numCache>
            </c:numRef>
          </c:val>
          <c:smooth val="0"/>
          <c:extLst>
            <c:ext xmlns:c16="http://schemas.microsoft.com/office/drawing/2014/chart" uri="{C3380CC4-5D6E-409C-BE32-E72D297353CC}">
              <c16:uniqueId val="{00000003-F39B-48A6-BB72-526A3D7A9F0E}"/>
            </c:ext>
          </c:extLst>
        </c:ser>
        <c:ser>
          <c:idx val="4"/>
          <c:order val="4"/>
          <c:tx>
            <c:strRef>
              <c:f>Graphs!$G$26</c:f>
              <c:strCache>
                <c:ptCount val="1"/>
                <c:pt idx="0">
                  <c:v>Provost</c:v>
                </c:pt>
              </c:strCache>
            </c:strRef>
          </c:tx>
          <c:spPr>
            <a:ln w="34925" cap="rnd">
              <a:solidFill>
                <a:schemeClr val="accent5"/>
              </a:solidFill>
              <a:round/>
            </a:ln>
            <a:effectLst>
              <a:outerShdw blurRad="57150" dist="19050" dir="5400000" algn="ctr" rotWithShape="0">
                <a:srgbClr val="000000">
                  <a:alpha val="63000"/>
                </a:srgbClr>
              </a:outerShdw>
            </a:effectLst>
          </c:spPr>
          <c:marker>
            <c:symbol val="square"/>
            <c:size val="5"/>
            <c:spPr>
              <a:solidFill>
                <a:srgbClr val="FFC00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Graphs!$G$36:$G$38</c:f>
              <c:numCache>
                <c:formatCode>0.00</c:formatCode>
                <c:ptCount val="3"/>
                <c:pt idx="0">
                  <c:v>2.6192426304962066</c:v>
                </c:pt>
                <c:pt idx="1">
                  <c:v>2.6135968138033281</c:v>
                </c:pt>
                <c:pt idx="2">
                  <c:v>2.6147753402132676</c:v>
                </c:pt>
              </c:numCache>
            </c:numRef>
          </c:val>
          <c:smooth val="0"/>
          <c:extLst>
            <c:ext xmlns:c16="http://schemas.microsoft.com/office/drawing/2014/chart" uri="{C3380CC4-5D6E-409C-BE32-E72D297353CC}">
              <c16:uniqueId val="{00000004-F39B-48A6-BB72-526A3D7A9F0E}"/>
            </c:ext>
          </c:extLst>
        </c:ser>
        <c:ser>
          <c:idx val="5"/>
          <c:order val="5"/>
          <c:tx>
            <c:strRef>
              <c:f>Graphs!$H$26</c:f>
              <c:strCache>
                <c:ptCount val="1"/>
                <c:pt idx="0">
                  <c:v>VP</c:v>
                </c:pt>
              </c:strCache>
            </c:strRef>
          </c:tx>
          <c:spPr>
            <a:ln w="34925" cap="rnd">
              <a:solidFill>
                <a:schemeClr val="accent6"/>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Graphs!$H$36:$H$38</c:f>
              <c:numCache>
                <c:formatCode>0.00</c:formatCode>
                <c:ptCount val="3"/>
                <c:pt idx="0">
                  <c:v>15.71306682924453</c:v>
                </c:pt>
                <c:pt idx="1">
                  <c:v>16.082196750881625</c:v>
                </c:pt>
                <c:pt idx="2">
                  <c:v>16.252736554517366</c:v>
                </c:pt>
              </c:numCache>
            </c:numRef>
          </c:val>
          <c:smooth val="0"/>
          <c:extLst>
            <c:ext xmlns:c16="http://schemas.microsoft.com/office/drawing/2014/chart" uri="{C3380CC4-5D6E-409C-BE32-E72D297353CC}">
              <c16:uniqueId val="{00000005-F39B-48A6-BB72-526A3D7A9F0E}"/>
            </c:ext>
          </c:extLst>
        </c:ser>
        <c:ser>
          <c:idx val="6"/>
          <c:order val="6"/>
          <c:tx>
            <c:strRef>
              <c:f>Graphs!$I$26</c:f>
              <c:strCache>
                <c:ptCount val="1"/>
                <c:pt idx="0">
                  <c:v>VC+P</c:v>
                </c:pt>
              </c:strCache>
            </c:strRef>
          </c:tx>
          <c:spPr>
            <a:ln w="34925" cap="rnd">
              <a:solidFill>
                <a:srgbClr val="FF0000"/>
              </a:solidFill>
              <a:round/>
            </a:ln>
            <a:effectLst>
              <a:outerShdw blurRad="57150" dist="19050" dir="5400000" algn="ctr" rotWithShape="0">
                <a:srgbClr val="000000">
                  <a:alpha val="63000"/>
                </a:srgbClr>
              </a:outerShdw>
            </a:effectLst>
          </c:spPr>
          <c:marker>
            <c:symbol val="square"/>
            <c:size val="5"/>
            <c:spPr>
              <a:solidFill>
                <a:schemeClr val="bg1"/>
              </a:solidFill>
              <a:ln w="9525">
                <a:noFill/>
                <a:round/>
              </a:ln>
              <a:effectLst>
                <a:outerShdw blurRad="57150" dist="19050" dir="5400000" algn="ctr" rotWithShape="0">
                  <a:srgbClr val="000000">
                    <a:alpha val="63000"/>
                  </a:srgbClr>
                </a:outerShdw>
              </a:effectLst>
            </c:spPr>
          </c:marker>
          <c:cat>
            <c:numRef>
              <c:f>Graphs!$B$36:$B$38</c:f>
              <c:numCache>
                <c:formatCode>mmm\-yy</c:formatCode>
                <c:ptCount val="3"/>
                <c:pt idx="0">
                  <c:v>45200</c:v>
                </c:pt>
                <c:pt idx="1">
                  <c:v>45231</c:v>
                </c:pt>
                <c:pt idx="2">
                  <c:v>45261</c:v>
                </c:pt>
              </c:numCache>
            </c:numRef>
          </c:cat>
          <c:val>
            <c:numRef>
              <c:f>Graphs!$I$36:$I$38</c:f>
              <c:numCache>
                <c:formatCode>0.00</c:formatCode>
                <c:ptCount val="3"/>
                <c:pt idx="0">
                  <c:v>0</c:v>
                </c:pt>
                <c:pt idx="1">
                  <c:v>0</c:v>
                </c:pt>
                <c:pt idx="2">
                  <c:v>0</c:v>
                </c:pt>
              </c:numCache>
            </c:numRef>
          </c:val>
          <c:smooth val="0"/>
          <c:extLst>
            <c:ext xmlns:c16="http://schemas.microsoft.com/office/drawing/2014/chart" uri="{C3380CC4-5D6E-409C-BE32-E72D297353CC}">
              <c16:uniqueId val="{00000006-F39B-48A6-BB72-526A3D7A9F0E}"/>
            </c:ext>
          </c:extLst>
        </c:ser>
        <c:dLbls>
          <c:showLegendKey val="0"/>
          <c:showVal val="0"/>
          <c:showCatName val="0"/>
          <c:showSerName val="0"/>
          <c:showPercent val="0"/>
          <c:showBubbleSize val="0"/>
        </c:dLbls>
        <c:marker val="1"/>
        <c:smooth val="0"/>
        <c:axId val="169674127"/>
        <c:axId val="169677487"/>
      </c:lineChart>
      <c:dateAx>
        <c:axId val="169674127"/>
        <c:scaling>
          <c:orientation val="minMax"/>
        </c:scaling>
        <c:delete val="0"/>
        <c:axPos val="b"/>
        <c:numFmt formatCode="mmm\-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677487"/>
        <c:crosses val="autoZero"/>
        <c:auto val="1"/>
        <c:lblOffset val="100"/>
        <c:baseTimeUnit val="months"/>
      </c:dateAx>
      <c:valAx>
        <c:axId val="169677487"/>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674127"/>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a:t>TRIFR</a:t>
            </a:r>
            <a:r>
              <a:rPr lang="en-AU" baseline="0"/>
              <a:t> 12 Month Rolling </a:t>
            </a:r>
            <a:endParaRPr lang="en-AU"/>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4374818317840274"/>
          <c:y val="9.0654271136092021E-2"/>
          <c:w val="0.84027007878871007"/>
          <c:h val="0.52482986917309582"/>
        </c:manualLayout>
      </c:layout>
      <c:lineChart>
        <c:grouping val="standard"/>
        <c:varyColors val="0"/>
        <c:ser>
          <c:idx val="0"/>
          <c:order val="0"/>
          <c:tx>
            <c:strRef>
              <c:f>Graphs!$C$54</c:f>
              <c:strCache>
                <c:ptCount val="1"/>
                <c:pt idx="0">
                  <c:v>ACU OVERALL</c:v>
                </c:pt>
              </c:strCache>
            </c:strRef>
          </c:tx>
          <c:spPr>
            <a:ln w="34925" cap="rnd">
              <a:solidFill>
                <a:srgbClr val="7030A0"/>
              </a:solidFill>
              <a:round/>
            </a:ln>
            <a:effectLst>
              <a:outerShdw blurRad="57150" dist="19050" dir="5400000" algn="ctr" rotWithShape="0">
                <a:srgbClr val="000000">
                  <a:alpha val="63000"/>
                </a:srgbClr>
              </a:outerShdw>
            </a:effectLst>
          </c:spPr>
          <c:marker>
            <c:symbol val="square"/>
            <c:size val="5"/>
            <c:spPr>
              <a:solidFill>
                <a:srgbClr val="FFFF0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Graphs!$C$64:$C$66</c:f>
              <c:numCache>
                <c:formatCode>0.00</c:formatCode>
                <c:ptCount val="3"/>
                <c:pt idx="0">
                  <c:v>6.5049876334788905</c:v>
                </c:pt>
                <c:pt idx="1">
                  <c:v>5.9254463554116752</c:v>
                </c:pt>
                <c:pt idx="2">
                  <c:v>6.240475961101553</c:v>
                </c:pt>
              </c:numCache>
              <c:extLst/>
            </c:numRef>
          </c:val>
          <c:smooth val="0"/>
          <c:extLst>
            <c:ext xmlns:c16="http://schemas.microsoft.com/office/drawing/2014/chart" uri="{C3380CC4-5D6E-409C-BE32-E72D297353CC}">
              <c16:uniqueId val="{00000000-7E92-48A4-A269-A498B28FA6DF}"/>
            </c:ext>
          </c:extLst>
        </c:ser>
        <c:ser>
          <c:idx val="1"/>
          <c:order val="1"/>
          <c:tx>
            <c:strRef>
              <c:f>Graphs!$D$54</c:f>
              <c:strCache>
                <c:ptCount val="1"/>
                <c:pt idx="0">
                  <c:v>COO</c:v>
                </c:pt>
              </c:strCache>
            </c:strRef>
          </c:tx>
          <c:spPr>
            <a:ln w="34925" cap="rnd">
              <a:solidFill>
                <a:schemeClr val="accent2"/>
              </a:solidFill>
              <a:round/>
            </a:ln>
            <a:effectLst>
              <a:outerShdw blurRad="57150" dist="19050" dir="5400000" algn="ctr" rotWithShape="0">
                <a:srgbClr val="000000">
                  <a:alpha val="63000"/>
                </a:srgbClr>
              </a:outerShdw>
            </a:effectLst>
          </c:spPr>
          <c:marker>
            <c:symbol val="square"/>
            <c:size val="5"/>
            <c:spPr>
              <a:solidFill>
                <a:srgbClr val="00B0F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Graphs!$D$64:$D$66</c:f>
              <c:numCache>
                <c:formatCode>0.00</c:formatCode>
                <c:ptCount val="3"/>
                <c:pt idx="0">
                  <c:v>3.9305380639332936</c:v>
                </c:pt>
                <c:pt idx="1">
                  <c:v>6.6099594718266932</c:v>
                </c:pt>
                <c:pt idx="2">
                  <c:v>9.3193902828847648</c:v>
                </c:pt>
              </c:numCache>
              <c:extLst/>
            </c:numRef>
          </c:val>
          <c:smooth val="0"/>
          <c:extLst>
            <c:ext xmlns:c16="http://schemas.microsoft.com/office/drawing/2014/chart" uri="{C3380CC4-5D6E-409C-BE32-E72D297353CC}">
              <c16:uniqueId val="{00000001-7E92-48A4-A269-A498B28FA6DF}"/>
            </c:ext>
          </c:extLst>
        </c:ser>
        <c:ser>
          <c:idx val="2"/>
          <c:order val="2"/>
          <c:tx>
            <c:strRef>
              <c:f>Graphs!$E$54</c:f>
              <c:strCache>
                <c:ptCount val="1"/>
                <c:pt idx="0">
                  <c:v>DVC Ethics</c:v>
                </c:pt>
              </c:strCache>
            </c:strRef>
          </c:tx>
          <c:spPr>
            <a:ln w="34925" cap="rnd">
              <a:solidFill>
                <a:schemeClr val="accent3"/>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Graphs!$E$64:$E$66</c:f>
              <c:numCache>
                <c:formatCode>0.00</c:formatCode>
                <c:ptCount val="3"/>
                <c:pt idx="0">
                  <c:v>0</c:v>
                </c:pt>
                <c:pt idx="1">
                  <c:v>0</c:v>
                </c:pt>
                <c:pt idx="2">
                  <c:v>0</c:v>
                </c:pt>
              </c:numCache>
              <c:extLst/>
            </c:numRef>
          </c:val>
          <c:smooth val="0"/>
          <c:extLst>
            <c:ext xmlns:c16="http://schemas.microsoft.com/office/drawing/2014/chart" uri="{C3380CC4-5D6E-409C-BE32-E72D297353CC}">
              <c16:uniqueId val="{00000002-7E92-48A4-A269-A498B28FA6DF}"/>
            </c:ext>
          </c:extLst>
        </c:ser>
        <c:ser>
          <c:idx val="3"/>
          <c:order val="3"/>
          <c:tx>
            <c:strRef>
              <c:f>Graphs!$F$54</c:f>
              <c:strCache>
                <c:ptCount val="1"/>
                <c:pt idx="0">
                  <c:v>DVCRE</c:v>
                </c:pt>
              </c:strCache>
            </c:strRef>
          </c:tx>
          <c:spPr>
            <a:ln w="34925" cap="rnd">
              <a:solidFill>
                <a:schemeClr val="accent4"/>
              </a:solidFill>
              <a:round/>
            </a:ln>
            <a:effectLst>
              <a:outerShdw blurRad="57150" dist="19050" dir="5400000" algn="ctr" rotWithShape="0">
                <a:srgbClr val="000000">
                  <a:alpha val="63000"/>
                </a:srgbClr>
              </a:outerShdw>
            </a:effectLst>
          </c:spPr>
          <c:marker>
            <c:symbol val="square"/>
            <c:size val="5"/>
            <c:spPr>
              <a:solidFill>
                <a:srgbClr val="92D05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Graphs!$F$64:$F$66</c:f>
              <c:numCache>
                <c:formatCode>0.00</c:formatCode>
                <c:ptCount val="3"/>
                <c:pt idx="0">
                  <c:v>16.031611773359177</c:v>
                </c:pt>
                <c:pt idx="1">
                  <c:v>0</c:v>
                </c:pt>
                <c:pt idx="2">
                  <c:v>0</c:v>
                </c:pt>
              </c:numCache>
              <c:extLst/>
            </c:numRef>
          </c:val>
          <c:smooth val="0"/>
          <c:extLst>
            <c:ext xmlns:c16="http://schemas.microsoft.com/office/drawing/2014/chart" uri="{C3380CC4-5D6E-409C-BE32-E72D297353CC}">
              <c16:uniqueId val="{00000003-7E92-48A4-A269-A498B28FA6DF}"/>
            </c:ext>
          </c:extLst>
        </c:ser>
        <c:ser>
          <c:idx val="4"/>
          <c:order val="4"/>
          <c:tx>
            <c:strRef>
              <c:f>Graphs!$G$54</c:f>
              <c:strCache>
                <c:ptCount val="1"/>
                <c:pt idx="0">
                  <c:v>Provost</c:v>
                </c:pt>
              </c:strCache>
            </c:strRef>
          </c:tx>
          <c:spPr>
            <a:ln w="34925" cap="rnd">
              <a:solidFill>
                <a:schemeClr val="accent5"/>
              </a:solidFill>
              <a:round/>
            </a:ln>
            <a:effectLst>
              <a:outerShdw blurRad="57150" dist="19050" dir="5400000" algn="ctr" rotWithShape="0">
                <a:srgbClr val="000000">
                  <a:alpha val="63000"/>
                </a:srgbClr>
              </a:outerShdw>
            </a:effectLst>
          </c:spPr>
          <c:marker>
            <c:symbol val="square"/>
            <c:size val="5"/>
            <c:spPr>
              <a:solidFill>
                <a:srgbClr val="FFC00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Graphs!$G$64:$G$66</c:f>
              <c:numCache>
                <c:formatCode>0.00</c:formatCode>
                <c:ptCount val="3"/>
                <c:pt idx="0">
                  <c:v>6.1115661378244823</c:v>
                </c:pt>
                <c:pt idx="1">
                  <c:v>5.6627930965738775</c:v>
                </c:pt>
                <c:pt idx="2">
                  <c:v>5.6653465704620798</c:v>
                </c:pt>
              </c:numCache>
              <c:extLst/>
            </c:numRef>
          </c:val>
          <c:smooth val="0"/>
          <c:extLst>
            <c:ext xmlns:c16="http://schemas.microsoft.com/office/drawing/2014/chart" uri="{C3380CC4-5D6E-409C-BE32-E72D297353CC}">
              <c16:uniqueId val="{00000004-7E92-48A4-A269-A498B28FA6DF}"/>
            </c:ext>
          </c:extLst>
        </c:ser>
        <c:ser>
          <c:idx val="5"/>
          <c:order val="5"/>
          <c:tx>
            <c:strRef>
              <c:f>Graphs!$H$54</c:f>
              <c:strCache>
                <c:ptCount val="1"/>
                <c:pt idx="0">
                  <c:v>VP</c:v>
                </c:pt>
              </c:strCache>
            </c:strRef>
          </c:tx>
          <c:spPr>
            <a:ln w="34925" cap="rnd">
              <a:solidFill>
                <a:schemeClr val="accent6"/>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Graphs!$H$64:$H$66</c:f>
              <c:numCache>
                <c:formatCode>0.00</c:formatCode>
                <c:ptCount val="3"/>
                <c:pt idx="0">
                  <c:v>15.71306682924453</c:v>
                </c:pt>
                <c:pt idx="1">
                  <c:v>16.082196750881625</c:v>
                </c:pt>
                <c:pt idx="2">
                  <c:v>16.252736554517366</c:v>
                </c:pt>
              </c:numCache>
              <c:extLst/>
            </c:numRef>
          </c:val>
          <c:smooth val="0"/>
          <c:extLst>
            <c:ext xmlns:c16="http://schemas.microsoft.com/office/drawing/2014/chart" uri="{C3380CC4-5D6E-409C-BE32-E72D297353CC}">
              <c16:uniqueId val="{00000005-7E92-48A4-A269-A498B28FA6DF}"/>
            </c:ext>
          </c:extLst>
        </c:ser>
        <c:ser>
          <c:idx val="6"/>
          <c:order val="6"/>
          <c:tx>
            <c:strRef>
              <c:f>Graphs!$I$54</c:f>
              <c:strCache>
                <c:ptCount val="1"/>
                <c:pt idx="0">
                  <c:v>VC+P</c:v>
                </c:pt>
              </c:strCache>
            </c:strRef>
          </c:tx>
          <c:spPr>
            <a:ln w="34925" cap="rnd">
              <a:solidFill>
                <a:srgbClr val="FF0000"/>
              </a:solidFill>
              <a:round/>
            </a:ln>
            <a:effectLst>
              <a:outerShdw blurRad="57150" dist="19050" dir="5400000" algn="ctr" rotWithShape="0">
                <a:srgbClr val="000000">
                  <a:alpha val="63000"/>
                </a:srgbClr>
              </a:outerShdw>
            </a:effectLst>
          </c:spPr>
          <c:marker>
            <c:symbol val="square"/>
            <c:size val="5"/>
            <c:spPr>
              <a:solidFill>
                <a:schemeClr val="bg1"/>
              </a:solidFill>
              <a:ln w="9525">
                <a:noFill/>
                <a:round/>
              </a:ln>
              <a:effectLst>
                <a:outerShdw blurRad="57150" dist="19050" dir="5400000" algn="ctr" rotWithShape="0">
                  <a:srgbClr val="000000">
                    <a:alpha val="63000"/>
                  </a:srgbClr>
                </a:outerShdw>
              </a:effectLst>
            </c:spPr>
          </c:marker>
          <c:cat>
            <c:numRef>
              <c:f>Graphs!$B$64:$B$66</c:f>
              <c:numCache>
                <c:formatCode>mmm\-yy</c:formatCode>
                <c:ptCount val="3"/>
                <c:pt idx="0">
                  <c:v>45200</c:v>
                </c:pt>
                <c:pt idx="1">
                  <c:v>45231</c:v>
                </c:pt>
                <c:pt idx="2">
                  <c:v>45261</c:v>
                </c:pt>
              </c:numCache>
              <c:extLst/>
            </c:numRef>
          </c:cat>
          <c:val>
            <c:numRef>
              <c:f>Graphs!$I$64:$I$66</c:f>
              <c:numCache>
                <c:formatCode>0.00</c:formatCode>
                <c:ptCount val="3"/>
                <c:pt idx="0">
                  <c:v>20.211975110165366</c:v>
                </c:pt>
                <c:pt idx="1">
                  <c:v>0</c:v>
                </c:pt>
                <c:pt idx="2">
                  <c:v>0</c:v>
                </c:pt>
              </c:numCache>
              <c:extLst/>
            </c:numRef>
          </c:val>
          <c:smooth val="0"/>
          <c:extLst>
            <c:ext xmlns:c16="http://schemas.microsoft.com/office/drawing/2014/chart" uri="{C3380CC4-5D6E-409C-BE32-E72D297353CC}">
              <c16:uniqueId val="{00000006-7E92-48A4-A269-A498B28FA6DF}"/>
            </c:ext>
          </c:extLst>
        </c:ser>
        <c:dLbls>
          <c:showLegendKey val="0"/>
          <c:showVal val="0"/>
          <c:showCatName val="0"/>
          <c:showSerName val="0"/>
          <c:showPercent val="0"/>
          <c:showBubbleSize val="0"/>
        </c:dLbls>
        <c:marker val="1"/>
        <c:smooth val="0"/>
        <c:axId val="1755472960"/>
        <c:axId val="1755473440"/>
      </c:lineChart>
      <c:dateAx>
        <c:axId val="1755472960"/>
        <c:scaling>
          <c:orientation val="minMax"/>
        </c:scaling>
        <c:delete val="0"/>
        <c:axPos val="b"/>
        <c:numFmt formatCode="mmm\-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3440"/>
        <c:crosses val="autoZero"/>
        <c:auto val="1"/>
        <c:lblOffset val="100"/>
        <c:baseTimeUnit val="months"/>
      </c:dateAx>
      <c:valAx>
        <c:axId val="175547344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296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4CF4-FD62-4359-A3CF-401D50C0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Links>
    <vt:vector size="102" baseType="variant">
      <vt:variant>
        <vt:i4>4849774</vt:i4>
      </vt:variant>
      <vt:variant>
        <vt:i4>48</vt:i4>
      </vt:variant>
      <vt:variant>
        <vt:i4>0</vt:i4>
      </vt:variant>
      <vt:variant>
        <vt:i4>5</vt:i4>
      </vt:variant>
      <vt:variant>
        <vt:lpwstr>https://policies.acu.edu.au/Human Resources/health_safety_and_well-being</vt:lpwstr>
      </vt:variant>
      <vt:variant>
        <vt:lpwstr/>
      </vt:variant>
      <vt:variant>
        <vt:i4>5046382</vt:i4>
      </vt:variant>
      <vt:variant>
        <vt:i4>45</vt:i4>
      </vt:variant>
      <vt:variant>
        <vt:i4>0</vt:i4>
      </vt:variant>
      <vt:variant>
        <vt:i4>5</vt:i4>
      </vt:variant>
      <vt:variant>
        <vt:lpwstr>https://staff.acu.edu.au/human_resources/your-safety-and-wellbeing/work-health-and-safety-management-system/whs-video-library</vt:lpwstr>
      </vt:variant>
      <vt:variant>
        <vt:lpwstr/>
      </vt:variant>
      <vt:variant>
        <vt:i4>5505036</vt:i4>
      </vt:variant>
      <vt:variant>
        <vt:i4>42</vt:i4>
      </vt:variant>
      <vt:variant>
        <vt:i4>0</vt:i4>
      </vt:variant>
      <vt:variant>
        <vt:i4>5</vt:i4>
      </vt:variant>
      <vt:variant>
        <vt:lpwstr>https://policies.acu.edu.au/human-resources/health_safety_and_well-being/whs_inspections</vt:lpwstr>
      </vt:variant>
      <vt:variant>
        <vt:lpwstr/>
      </vt:variant>
      <vt:variant>
        <vt:i4>7536749</vt:i4>
      </vt:variant>
      <vt:variant>
        <vt:i4>39</vt:i4>
      </vt:variant>
      <vt:variant>
        <vt:i4>0</vt:i4>
      </vt:variant>
      <vt:variant>
        <vt:i4>5</vt:i4>
      </vt:variant>
      <vt:variant>
        <vt:lpwstr>https://acu.safetyhub.com/embeddirect/TUWCF209/2099944</vt:lpwstr>
      </vt:variant>
      <vt:variant>
        <vt:lpwstr/>
      </vt:variant>
      <vt:variant>
        <vt:i4>7405587</vt:i4>
      </vt:variant>
      <vt:variant>
        <vt:i4>36</vt:i4>
      </vt:variant>
      <vt:variant>
        <vt:i4>0</vt:i4>
      </vt:variant>
      <vt:variant>
        <vt:i4>5</vt:i4>
      </vt:variant>
      <vt:variant>
        <vt:lpwstr>https://policies.acu.edu.au/human-resources/health_safety_and_well-being/ohs_risk_management</vt:lpwstr>
      </vt:variant>
      <vt:variant>
        <vt:lpwstr/>
      </vt:variant>
      <vt:variant>
        <vt:i4>7536749</vt:i4>
      </vt:variant>
      <vt:variant>
        <vt:i4>33</vt:i4>
      </vt:variant>
      <vt:variant>
        <vt:i4>0</vt:i4>
      </vt:variant>
      <vt:variant>
        <vt:i4>5</vt:i4>
      </vt:variant>
      <vt:variant>
        <vt:lpwstr>https://acu.safetyhub.com/embeddirect/TUWCF209/2099944</vt:lpwstr>
      </vt:variant>
      <vt:variant>
        <vt:lpwstr/>
      </vt:variant>
      <vt:variant>
        <vt:i4>1835065</vt:i4>
      </vt:variant>
      <vt:variant>
        <vt:i4>30</vt:i4>
      </vt:variant>
      <vt:variant>
        <vt:i4>0</vt:i4>
      </vt:variant>
      <vt:variant>
        <vt:i4>5</vt:i4>
      </vt:variant>
      <vt:variant>
        <vt:lpwstr>https://staff.acu.edu.au/our_university/news/2020/may/introducing-carm-the-risk-management-system</vt:lpwstr>
      </vt:variant>
      <vt:variant>
        <vt:lpwstr/>
      </vt:variant>
      <vt:variant>
        <vt:i4>720928</vt:i4>
      </vt:variant>
      <vt:variant>
        <vt:i4>27</vt:i4>
      </vt:variant>
      <vt:variant>
        <vt:i4>0</vt:i4>
      </vt:variant>
      <vt:variant>
        <vt:i4>5</vt:i4>
      </vt:variant>
      <vt:variant>
        <vt:lpwstr>https://staff.acu.edu.au/human_resources/your-safety-and-wellbeing/whs_risk_management/reporting-incidents-and-injuries-on-riskware</vt:lpwstr>
      </vt:variant>
      <vt:variant>
        <vt:lpwstr/>
      </vt:variant>
      <vt:variant>
        <vt:i4>4718653</vt:i4>
      </vt:variant>
      <vt:variant>
        <vt:i4>24</vt:i4>
      </vt:variant>
      <vt:variant>
        <vt:i4>0</vt:i4>
      </vt:variant>
      <vt:variant>
        <vt:i4>5</vt:i4>
      </vt:variant>
      <vt:variant>
        <vt:lpwstr>https://policies.acu.edu.au/human-resources/health_safety_and_well-being/whsms-safety-in-design-procedure</vt:lpwstr>
      </vt:variant>
      <vt:variant>
        <vt:lpwstr/>
      </vt:variant>
      <vt:variant>
        <vt:i4>7405587</vt:i4>
      </vt:variant>
      <vt:variant>
        <vt:i4>21</vt:i4>
      </vt:variant>
      <vt:variant>
        <vt:i4>0</vt:i4>
      </vt:variant>
      <vt:variant>
        <vt:i4>5</vt:i4>
      </vt:variant>
      <vt:variant>
        <vt:lpwstr>https://policies.acu.edu.au/human-resources/health_safety_and_well-being/ohs_risk_management</vt:lpwstr>
      </vt:variant>
      <vt:variant>
        <vt:lpwstr/>
      </vt:variant>
      <vt:variant>
        <vt:i4>5505036</vt:i4>
      </vt:variant>
      <vt:variant>
        <vt:i4>18</vt:i4>
      </vt:variant>
      <vt:variant>
        <vt:i4>0</vt:i4>
      </vt:variant>
      <vt:variant>
        <vt:i4>5</vt:i4>
      </vt:variant>
      <vt:variant>
        <vt:lpwstr>https://policies.acu.edu.au/human-resources/health_safety_and_well-being/whs_inspections</vt:lpwstr>
      </vt:variant>
      <vt:variant>
        <vt:lpwstr/>
      </vt:variant>
      <vt:variant>
        <vt:i4>5046382</vt:i4>
      </vt:variant>
      <vt:variant>
        <vt:i4>15</vt:i4>
      </vt:variant>
      <vt:variant>
        <vt:i4>0</vt:i4>
      </vt:variant>
      <vt:variant>
        <vt:i4>5</vt:i4>
      </vt:variant>
      <vt:variant>
        <vt:lpwstr>https://staff.acu.edu.au/human_resources/your-safety-and-wellbeing/work-health-and-safety-management-system/whs-video-library</vt:lpwstr>
      </vt:variant>
      <vt:variant>
        <vt:lpwstr/>
      </vt:variant>
      <vt:variant>
        <vt:i4>5046382</vt:i4>
      </vt:variant>
      <vt:variant>
        <vt:i4>12</vt:i4>
      </vt:variant>
      <vt:variant>
        <vt:i4>0</vt:i4>
      </vt:variant>
      <vt:variant>
        <vt:i4>5</vt:i4>
      </vt:variant>
      <vt:variant>
        <vt:lpwstr>https://staff.acu.edu.au/human_resources/your-safety-and-wellbeing/work-health-and-safety-management-system/whs-video-library</vt:lpwstr>
      </vt:variant>
      <vt:variant>
        <vt:lpwstr/>
      </vt:variant>
      <vt:variant>
        <vt:i4>4587597</vt:i4>
      </vt:variant>
      <vt:variant>
        <vt:i4>9</vt:i4>
      </vt:variant>
      <vt:variant>
        <vt:i4>0</vt:i4>
      </vt:variant>
      <vt:variant>
        <vt:i4>5</vt:i4>
      </vt:variant>
      <vt:variant>
        <vt:lpwstr>https://staff.acu.edu.au/-/media/staff-site-rte-docs-only/human-resources/mandatory-actions-taken-by-organisational-units-to-implement-our-whsms-20200506.pdf</vt:lpwstr>
      </vt:variant>
      <vt:variant>
        <vt:lpwstr/>
      </vt:variant>
      <vt:variant>
        <vt:i4>6422574</vt:i4>
      </vt:variant>
      <vt:variant>
        <vt:i4>6</vt:i4>
      </vt:variant>
      <vt:variant>
        <vt:i4>0</vt:i4>
      </vt:variant>
      <vt:variant>
        <vt:i4>5</vt:i4>
      </vt:variant>
      <vt:variant>
        <vt:lpwstr>http://www.acu.edu.au/whsactionplan</vt:lpwstr>
      </vt:variant>
      <vt:variant>
        <vt:lpwstr/>
      </vt:variant>
      <vt:variant>
        <vt:i4>655389</vt:i4>
      </vt:variant>
      <vt:variant>
        <vt:i4>3</vt:i4>
      </vt:variant>
      <vt:variant>
        <vt:i4>0</vt:i4>
      </vt:variant>
      <vt:variant>
        <vt:i4>5</vt:i4>
      </vt:variant>
      <vt:variant>
        <vt:lpwstr>https://www.health.gov.au/resources/publications/atagi-advice-on-influenza-and-covid-19-vaccines</vt:lpwstr>
      </vt:variant>
      <vt:variant>
        <vt:lpwstr/>
      </vt:variant>
      <vt:variant>
        <vt:i4>3473504</vt:i4>
      </vt:variant>
      <vt:variant>
        <vt:i4>0</vt:i4>
      </vt:variant>
      <vt:variant>
        <vt:i4>0</vt:i4>
      </vt:variant>
      <vt:variant>
        <vt:i4>5</vt:i4>
      </vt:variant>
      <vt:variant>
        <vt:lpwstr>https://www.abc.net.au/news/health/2020-03-05/when-to-get-flu-vaccine-coronavirus-covid-19/12024498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dc:creator>
  <cp:keywords/>
  <dc:description/>
  <cp:lastModifiedBy>Elizabeth Jones</cp:lastModifiedBy>
  <cp:revision>3</cp:revision>
  <cp:lastPrinted>2024-01-16T02:47:00Z</cp:lastPrinted>
  <dcterms:created xsi:type="dcterms:W3CDTF">2024-01-31T05:28:00Z</dcterms:created>
  <dcterms:modified xsi:type="dcterms:W3CDTF">2024-01-31T05:28:00Z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