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C6228" w14:textId="29CCD34E" w:rsidR="004B72B8" w:rsidRDefault="00081659" w:rsidP="00267D38">
      <w:pPr>
        <w:pStyle w:val="BodyText"/>
        <w:kinsoku w:val="0"/>
        <w:overflowPunct w:val="0"/>
        <w:ind w:left="8187" w:hanging="1099"/>
        <w:rPr>
          <w:rFonts w:ascii="Times New Roman" w:hAnsi="Times New Roman" w:cs="Times New Roman"/>
        </w:rPr>
      </w:pPr>
      <w:r w:rsidRPr="00081659">
        <w:rPr>
          <w:noProof/>
          <w:sz w:val="18"/>
          <w:szCs w:val="18"/>
        </w:rPr>
        <mc:AlternateContent>
          <mc:Choice Requires="wps">
            <w:drawing>
              <wp:anchor distT="45720" distB="45720" distL="114300" distR="114300" simplePos="0" relativeHeight="251694080" behindDoc="0" locked="0" layoutInCell="1" allowOverlap="1" wp14:anchorId="60A793A0" wp14:editId="14FBB31C">
                <wp:simplePos x="0" y="0"/>
                <wp:positionH relativeFrom="column">
                  <wp:posOffset>4116070</wp:posOffset>
                </wp:positionH>
                <wp:positionV relativeFrom="paragraph">
                  <wp:posOffset>0</wp:posOffset>
                </wp:positionV>
                <wp:extent cx="2354579" cy="2011044"/>
                <wp:effectExtent l="0" t="0" r="23495" b="234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79" cy="2011044"/>
                        </a:xfrm>
                        <a:prstGeom prst="rect">
                          <a:avLst/>
                        </a:prstGeom>
                        <a:solidFill>
                          <a:srgbClr val="FFFFFF"/>
                        </a:solidFill>
                        <a:ln w="9525">
                          <a:solidFill>
                            <a:schemeClr val="bg1"/>
                          </a:solidFill>
                          <a:miter lim="800000"/>
                          <a:headEnd/>
                          <a:tailEnd/>
                        </a:ln>
                      </wps:spPr>
                      <wps:txbx>
                        <w:txbxContent>
                          <w:p w14:paraId="20E3A37F" w14:textId="0C67313E" w:rsidR="00E50967" w:rsidRDefault="00E50967" w:rsidP="000161FE">
                            <w:pPr>
                              <w:jc w:val="right"/>
                            </w:pPr>
                            <w:r>
                              <w:rPr>
                                <w:rFonts w:ascii="Times New Roman" w:hAnsi="Times New Roman" w:cs="Times New Roman"/>
                                <w:noProof/>
                              </w:rPr>
                              <w:drawing>
                                <wp:inline distT="0" distB="0" distL="0" distR="0" wp14:anchorId="585C7DB8" wp14:editId="508B2FA0">
                                  <wp:extent cx="1678363" cy="798391"/>
                                  <wp:effectExtent l="0" t="0" r="0" b="0"/>
                                  <wp:docPr id="9"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1785" cy="82856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0A793A0" id="_x0000_t202" coordsize="21600,21600" o:spt="202" path="m,l,21600r21600,l21600,xe">
                <v:stroke joinstyle="miter"/>
                <v:path gradientshapeok="t" o:connecttype="rect"/>
              </v:shapetype>
              <v:shape id="Text Box 2" o:spid="_x0000_s1026" type="#_x0000_t202" style="position:absolute;left:0;text-align:left;margin-left:324.1pt;margin-top:0;width:185.4pt;height:158.35pt;z-index:2516940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" strokecolor="white [3212]">
                <v:textbox style="mso-fit-shape-to-text:t">
                  <w:txbxContent>
                    <w:p w14:paraId="20E3A37F" w14:textId="0C67313E" w:rsidR="00E50967" w:rsidRDefault="00E50967" w:rsidP="000161FE">
                      <w:pPr>
                        <w:jc w:val="right"/>
                      </w:pPr>
                      <w:r>
                        <w:rPr>
                          <w:rFonts w:ascii="Times New Roman" w:hAnsi="Times New Roman" w:cs="Times New Roman"/>
                          <w:noProof/>
                        </w:rPr>
                        <w:drawing>
                          <wp:inline distT="0" distB="0" distL="0" distR="0" wp14:anchorId="585C7DB8" wp14:editId="508B2FA0">
                            <wp:extent cx="1678363" cy="798391"/>
                            <wp:effectExtent l="0" t="0" r="0" b="0"/>
                            <wp:docPr id="9"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1785" cy="828560"/>
                                    </a:xfrm>
                                    <a:prstGeom prst="rect">
                                      <a:avLst/>
                                    </a:prstGeom>
                                    <a:noFill/>
                                    <a:ln>
                                      <a:noFill/>
                                    </a:ln>
                                  </pic:spPr>
                                </pic:pic>
                              </a:graphicData>
                            </a:graphic>
                          </wp:inline>
                        </w:drawing>
                      </w:r>
                    </w:p>
                  </w:txbxContent>
                </v:textbox>
                <w10:wrap type="square"/>
              </v:shape>
            </w:pict>
          </mc:Fallback>
        </mc:AlternateContent>
      </w:r>
    </w:p>
    <w:p w14:paraId="16739410" w14:textId="7BDE7877" w:rsidR="00C26886" w:rsidRDefault="004B72B8" w:rsidP="00D6294C">
      <w:pPr>
        <w:pStyle w:val="BodyText"/>
        <w:kinsoku w:val="0"/>
        <w:overflowPunct w:val="0"/>
        <w:spacing w:before="48" w:line="280" w:lineRule="auto"/>
        <w:ind w:left="3742" w:right="-1" w:hanging="3742"/>
        <w:jc w:val="center"/>
        <w:rPr>
          <w:b/>
          <w:bCs/>
          <w:color w:val="5F4879"/>
          <w:sz w:val="40"/>
          <w:szCs w:val="40"/>
        </w:rPr>
      </w:pPr>
      <w:r>
        <w:rPr>
          <w:b/>
          <w:bCs/>
          <w:color w:val="5F4879"/>
          <w:sz w:val="40"/>
          <w:szCs w:val="40"/>
        </w:rPr>
        <w:t>Work Health and Safety (WHS) Report</w:t>
      </w:r>
    </w:p>
    <w:p w14:paraId="6B03F916" w14:textId="6C818331" w:rsidR="004B72B8" w:rsidRDefault="000D603E" w:rsidP="00D0133E">
      <w:pPr>
        <w:pStyle w:val="BodyText"/>
        <w:kinsoku w:val="0"/>
        <w:overflowPunct w:val="0"/>
        <w:spacing w:before="48" w:line="280" w:lineRule="auto"/>
        <w:ind w:left="3742" w:right="-625" w:hanging="3600"/>
        <w:jc w:val="center"/>
        <w:rPr>
          <w:b/>
          <w:bCs/>
          <w:color w:val="5F4879"/>
          <w:sz w:val="40"/>
          <w:szCs w:val="40"/>
        </w:rPr>
      </w:pPr>
      <w:r>
        <w:rPr>
          <w:b/>
          <w:bCs/>
          <w:color w:val="5F4879"/>
          <w:sz w:val="40"/>
          <w:szCs w:val="40"/>
        </w:rPr>
        <w:t>Quarter 3 July to September 2023</w:t>
      </w:r>
    </w:p>
    <w:p w14:paraId="0AB433E6" w14:textId="412D0DD4" w:rsidR="00550FC1" w:rsidRDefault="004B72B8" w:rsidP="00CD61CA">
      <w:pPr>
        <w:pStyle w:val="BodyText"/>
        <w:tabs>
          <w:tab w:val="left" w:pos="7797"/>
        </w:tabs>
        <w:kinsoku w:val="0"/>
        <w:overflowPunct w:val="0"/>
        <w:spacing w:before="141"/>
        <w:ind w:right="-306"/>
      </w:pPr>
      <w:r>
        <w:t>This report provides an overview of</w:t>
      </w:r>
      <w:r w:rsidR="00DB2EC3">
        <w:t xml:space="preserve"> WHS </w:t>
      </w:r>
      <w:r w:rsidR="00550FC1">
        <w:t xml:space="preserve">performance and initiatives across ACU during </w:t>
      </w:r>
      <w:r w:rsidR="00D6294C">
        <w:t>Quarter</w:t>
      </w:r>
      <w:r w:rsidR="000D603E">
        <w:t xml:space="preserve"> 3</w:t>
      </w:r>
      <w:r w:rsidR="00D6294C">
        <w:t xml:space="preserve"> </w:t>
      </w:r>
      <w:r w:rsidR="00550FC1">
        <w:t>2023.</w:t>
      </w:r>
    </w:p>
    <w:p w14:paraId="7C731A85" w14:textId="77777777" w:rsidR="00550FC1" w:rsidRDefault="00550FC1" w:rsidP="00CD61CA">
      <w:pPr>
        <w:pStyle w:val="BodyText"/>
        <w:tabs>
          <w:tab w:val="left" w:pos="7797"/>
        </w:tabs>
        <w:kinsoku w:val="0"/>
        <w:overflowPunct w:val="0"/>
        <w:spacing w:before="141"/>
        <w:ind w:right="-306"/>
      </w:pPr>
    </w:p>
    <w:p w14:paraId="7C21A06F" w14:textId="79733C2A" w:rsidR="00F32C9E" w:rsidRDefault="00F32C9E" w:rsidP="00550FC1">
      <w:pPr>
        <w:pStyle w:val="Heading1"/>
        <w:numPr>
          <w:ilvl w:val="0"/>
          <w:numId w:val="30"/>
        </w:numPr>
      </w:pPr>
      <w:r>
        <w:t>Executive Dashboard</w:t>
      </w:r>
    </w:p>
    <w:p w14:paraId="2AEB2037" w14:textId="005A1895" w:rsidR="00F32C9E" w:rsidRPr="000739D3" w:rsidRDefault="00F32C9E" w:rsidP="00CD61CA">
      <w:pPr>
        <w:pStyle w:val="BodyText"/>
        <w:kinsoku w:val="0"/>
        <w:overflowPunct w:val="0"/>
        <w:spacing w:before="6"/>
      </w:pPr>
    </w:p>
    <w:p w14:paraId="40AE5FBD" w14:textId="2B620A31" w:rsidR="00047F11" w:rsidRDefault="00047F11" w:rsidP="00047F11">
      <w:pPr>
        <w:pStyle w:val="BodyText"/>
        <w:kinsoku w:val="0"/>
        <w:overflowPunct w:val="0"/>
      </w:pPr>
      <w:r>
        <w:t xml:space="preserve">Table 1 below provides key WHS indicators as agreed with the CPO for Q3 2023 (July – September). These are aligned with good practice inside and outside the University sector and provide improved </w:t>
      </w:r>
      <w:r w:rsidRPr="000739D3">
        <w:t xml:space="preserve">visibility as to </w:t>
      </w:r>
      <w:r>
        <w:t xml:space="preserve">WHS </w:t>
      </w:r>
      <w:r w:rsidRPr="000739D3">
        <w:t xml:space="preserve">performance across both </w:t>
      </w:r>
      <w:r>
        <w:t xml:space="preserve">ACU </w:t>
      </w:r>
      <w:r w:rsidRPr="000739D3">
        <w:t>overall</w:t>
      </w:r>
      <w:r>
        <w:t xml:space="preserve"> and at the P</w:t>
      </w:r>
      <w:r w:rsidRPr="000739D3">
        <w:t>ortfolio level</w:t>
      </w:r>
      <w:r>
        <w:t xml:space="preserve"> (where such data currently exists).  To ensure that WHS data is contemporary and to allow the University and Portfolios to </w:t>
      </w:r>
      <w:proofErr w:type="gramStart"/>
      <w:r>
        <w:t>take action</w:t>
      </w:r>
      <w:proofErr w:type="gramEnd"/>
      <w:r>
        <w:t xml:space="preserve"> to “course-correct” as required to address WHS performance issues, WHS reports are now provided on a monthly basis, supplemented by quarterly reports (this report) and annual summary reports.</w:t>
      </w:r>
    </w:p>
    <w:p w14:paraId="73D21C2B" w14:textId="77777777" w:rsidR="00F33A9E" w:rsidRDefault="00F33A9E" w:rsidP="00BE4832">
      <w:pPr>
        <w:pStyle w:val="BodyText"/>
        <w:kinsoku w:val="0"/>
        <w:overflowPunct w:val="0"/>
      </w:pPr>
    </w:p>
    <w:p w14:paraId="2AD997D6" w14:textId="626B8F8D" w:rsidR="00676B73" w:rsidRDefault="00676B73" w:rsidP="00240DF6">
      <w:pPr>
        <w:pStyle w:val="Heading1"/>
        <w:numPr>
          <w:ilvl w:val="0"/>
          <w:numId w:val="30"/>
        </w:numPr>
      </w:pPr>
      <w:r>
        <w:t xml:space="preserve">WHS </w:t>
      </w:r>
      <w:r w:rsidR="00240DF6">
        <w:t>P</w:t>
      </w:r>
      <w:r>
        <w:t>erformance</w:t>
      </w:r>
    </w:p>
    <w:p w14:paraId="16A5F866" w14:textId="77777777" w:rsidR="00676B73" w:rsidRDefault="00676B73" w:rsidP="00676B73">
      <w:pPr>
        <w:pStyle w:val="BodyText"/>
        <w:kinsoku w:val="0"/>
        <w:overflowPunct w:val="0"/>
      </w:pPr>
    </w:p>
    <w:p w14:paraId="710C276A" w14:textId="4A04DE47" w:rsidR="00676B73" w:rsidRPr="00676B73" w:rsidRDefault="007B6578" w:rsidP="00676B73">
      <w:pPr>
        <w:pStyle w:val="BodyText"/>
        <w:kinsoku w:val="0"/>
        <w:overflowPunct w:val="0"/>
        <w:rPr>
          <w:b/>
          <w:bCs/>
        </w:rPr>
      </w:pPr>
      <w:r>
        <w:rPr>
          <w:b/>
          <w:bCs/>
        </w:rPr>
        <w:t xml:space="preserve">2.1 </w:t>
      </w:r>
      <w:r w:rsidR="00676B73" w:rsidRPr="00676B73">
        <w:rPr>
          <w:b/>
          <w:bCs/>
        </w:rPr>
        <w:t>Notifiable Incidents</w:t>
      </w:r>
    </w:p>
    <w:p w14:paraId="2033E42D" w14:textId="77777777" w:rsidR="00676B73" w:rsidRDefault="00676B73" w:rsidP="00676B73">
      <w:pPr>
        <w:pStyle w:val="BodyText"/>
        <w:kinsoku w:val="0"/>
        <w:overflowPunct w:val="0"/>
      </w:pPr>
    </w:p>
    <w:p w14:paraId="7A51005F" w14:textId="3BCC2FA2" w:rsidR="00676B73" w:rsidRDefault="00676B73" w:rsidP="00676B73">
      <w:pPr>
        <w:pStyle w:val="BodyText"/>
        <w:kinsoku w:val="0"/>
        <w:overflowPunct w:val="0"/>
      </w:pPr>
      <w:r>
        <w:t xml:space="preserve">Notifiable incidents are defined </w:t>
      </w:r>
      <w:r w:rsidR="004E0263">
        <w:t>as serious</w:t>
      </w:r>
      <w:r>
        <w:t xml:space="preserve"> WHS incidents which require reporting to the relevant WHS Regulator under WHS/OHS legislation.  During </w:t>
      </w:r>
      <w:r w:rsidR="007218E3">
        <w:t xml:space="preserve">Quarter 3 there were no notifiable incidents recorded. </w:t>
      </w:r>
    </w:p>
    <w:p w14:paraId="526EEE2E" w14:textId="77777777" w:rsidR="00676B73" w:rsidRDefault="00676B73" w:rsidP="00676B73">
      <w:pPr>
        <w:pStyle w:val="BodyText"/>
        <w:kinsoku w:val="0"/>
        <w:overflowPunct w:val="0"/>
      </w:pPr>
    </w:p>
    <w:p w14:paraId="04B435D4" w14:textId="1B68A7DE" w:rsidR="00676B73" w:rsidRDefault="007B6578" w:rsidP="00676B73">
      <w:pPr>
        <w:pStyle w:val="BodyText"/>
        <w:kinsoku w:val="0"/>
        <w:overflowPunct w:val="0"/>
        <w:rPr>
          <w:b/>
          <w:bCs/>
        </w:rPr>
      </w:pPr>
      <w:r>
        <w:rPr>
          <w:b/>
          <w:bCs/>
        </w:rPr>
        <w:t xml:space="preserve">2.2 </w:t>
      </w:r>
      <w:r w:rsidR="00676B73" w:rsidRPr="00676B73">
        <w:rPr>
          <w:b/>
          <w:bCs/>
        </w:rPr>
        <w:t xml:space="preserve">Riskware Incidents </w:t>
      </w:r>
    </w:p>
    <w:p w14:paraId="4F496ADD" w14:textId="77777777" w:rsidR="007218E3" w:rsidRPr="00676B73" w:rsidRDefault="007218E3" w:rsidP="00676B73">
      <w:pPr>
        <w:pStyle w:val="BodyText"/>
        <w:kinsoku w:val="0"/>
        <w:overflowPunct w:val="0"/>
        <w:rPr>
          <w:b/>
          <w:bCs/>
        </w:rPr>
      </w:pPr>
    </w:p>
    <w:p w14:paraId="1081B4B3" w14:textId="605F113C" w:rsidR="00676B73" w:rsidRDefault="00676B73" w:rsidP="00676B73">
      <w:pPr>
        <w:pStyle w:val="BodyText"/>
        <w:kinsoku w:val="0"/>
        <w:overflowPunct w:val="0"/>
      </w:pPr>
      <w:r>
        <w:t xml:space="preserve">Riskware </w:t>
      </w:r>
      <w:r w:rsidR="008E393E">
        <w:t xml:space="preserve">is the online incident and hazard reporting system used by ACU for reporting safety related matters. </w:t>
      </w:r>
      <w:r>
        <w:t xml:space="preserve">Student reports accounted for </w:t>
      </w:r>
      <w:r w:rsidR="007218E3">
        <w:t>32</w:t>
      </w:r>
      <w:r w:rsidR="002E380E">
        <w:t xml:space="preserve"> of </w:t>
      </w:r>
      <w:r w:rsidR="007218E3">
        <w:t>49</w:t>
      </w:r>
      <w:r w:rsidRPr="002E380E">
        <w:t xml:space="preserve"> (6</w:t>
      </w:r>
      <w:r w:rsidR="002E380E" w:rsidRPr="002E380E">
        <w:t>5</w:t>
      </w:r>
      <w:r w:rsidRPr="002E380E">
        <w:t>%)</w:t>
      </w:r>
      <w:r>
        <w:t xml:space="preserve"> riskware incidents that were logged </w:t>
      </w:r>
      <w:r w:rsidR="007218E3">
        <w:t>in Q3.</w:t>
      </w:r>
      <w:r>
        <w:t xml:space="preserve"> Staff members reported </w:t>
      </w:r>
      <w:r w:rsidR="007218E3">
        <w:t xml:space="preserve">14 </w:t>
      </w:r>
      <w:r>
        <w:t>(</w:t>
      </w:r>
      <w:r w:rsidR="007218E3">
        <w:t>29</w:t>
      </w:r>
      <w:r>
        <w:t>%) incidents</w:t>
      </w:r>
      <w:r w:rsidR="00047F11">
        <w:t xml:space="preserve">, whilst </w:t>
      </w:r>
      <w:r w:rsidR="007218E3">
        <w:t>3</w:t>
      </w:r>
      <w:r>
        <w:t xml:space="preserve"> visitor reports (</w:t>
      </w:r>
      <w:r w:rsidR="007218E3">
        <w:t>6</w:t>
      </w:r>
      <w:r>
        <w:t xml:space="preserve">%) were logged. </w:t>
      </w:r>
    </w:p>
    <w:p w14:paraId="4A38B8FA" w14:textId="77777777" w:rsidR="008E393E" w:rsidRDefault="008E393E" w:rsidP="00676B73">
      <w:pPr>
        <w:pStyle w:val="BodyText"/>
        <w:kinsoku w:val="0"/>
        <w:overflowPunct w:val="0"/>
      </w:pPr>
    </w:p>
    <w:p w14:paraId="5AFDF0B9" w14:textId="77777777" w:rsidR="00676B73" w:rsidRPr="008E393E" w:rsidRDefault="00676B73" w:rsidP="008E393E">
      <w:pPr>
        <w:pStyle w:val="BodyText"/>
        <w:kinsoku w:val="0"/>
        <w:overflowPunct w:val="0"/>
        <w:ind w:left="720"/>
        <w:rPr>
          <w:b/>
          <w:bCs/>
          <w:i/>
          <w:iCs/>
        </w:rPr>
      </w:pPr>
      <w:r w:rsidRPr="008E393E">
        <w:rPr>
          <w:b/>
          <w:bCs/>
          <w:i/>
          <w:iCs/>
        </w:rPr>
        <w:t xml:space="preserve">Hazard Reports </w:t>
      </w:r>
    </w:p>
    <w:p w14:paraId="79663E15" w14:textId="297DE8A3" w:rsidR="00676B73" w:rsidRDefault="007218E3" w:rsidP="00FA2D60">
      <w:pPr>
        <w:pStyle w:val="BodyText"/>
        <w:numPr>
          <w:ilvl w:val="1"/>
          <w:numId w:val="33"/>
        </w:numPr>
        <w:kinsoku w:val="0"/>
        <w:overflowPunct w:val="0"/>
      </w:pPr>
      <w:r>
        <w:t>7</w:t>
      </w:r>
      <w:r w:rsidR="00676B73">
        <w:t xml:space="preserve"> hazards were logged during </w:t>
      </w:r>
      <w:r>
        <w:t>Q3.</w:t>
      </w:r>
      <w:r w:rsidR="00676B73">
        <w:t xml:space="preserve"> </w:t>
      </w:r>
    </w:p>
    <w:p w14:paraId="626898F3" w14:textId="0EA7D757" w:rsidR="00676B73" w:rsidRDefault="007218E3" w:rsidP="008E393E">
      <w:pPr>
        <w:pStyle w:val="BodyText"/>
        <w:numPr>
          <w:ilvl w:val="1"/>
          <w:numId w:val="33"/>
        </w:numPr>
        <w:kinsoku w:val="0"/>
        <w:overflowPunct w:val="0"/>
      </w:pPr>
      <w:r>
        <w:t>6 out of the 7 hazards have been actioned and closed by P&amp;F</w:t>
      </w:r>
      <w:r w:rsidR="00047F11">
        <w:t xml:space="preserve"> as at the date of this report</w:t>
      </w:r>
      <w:r>
        <w:t>.</w:t>
      </w:r>
    </w:p>
    <w:p w14:paraId="2AEEDB38" w14:textId="77777777" w:rsidR="007218E3" w:rsidRDefault="007218E3" w:rsidP="007218E3">
      <w:pPr>
        <w:pStyle w:val="BodyText"/>
        <w:kinsoku w:val="0"/>
        <w:overflowPunct w:val="0"/>
        <w:ind w:left="1440"/>
      </w:pPr>
    </w:p>
    <w:p w14:paraId="307D5B89" w14:textId="77777777" w:rsidR="00676B73" w:rsidRDefault="00676B73" w:rsidP="008E393E">
      <w:pPr>
        <w:pStyle w:val="BodyText"/>
        <w:kinsoku w:val="0"/>
        <w:overflowPunct w:val="0"/>
        <w:ind w:left="720"/>
        <w:rPr>
          <w:b/>
          <w:bCs/>
          <w:i/>
          <w:iCs/>
        </w:rPr>
      </w:pPr>
      <w:r w:rsidRPr="008E393E">
        <w:rPr>
          <w:b/>
          <w:bCs/>
          <w:i/>
          <w:iCs/>
        </w:rPr>
        <w:t xml:space="preserve">Staff Lost Time Injuries </w:t>
      </w:r>
    </w:p>
    <w:p w14:paraId="1FB1647C" w14:textId="77777777" w:rsidR="007218E3" w:rsidRPr="008E393E" w:rsidRDefault="007218E3" w:rsidP="008E393E">
      <w:pPr>
        <w:pStyle w:val="BodyText"/>
        <w:kinsoku w:val="0"/>
        <w:overflowPunct w:val="0"/>
        <w:ind w:left="720"/>
        <w:rPr>
          <w:b/>
          <w:bCs/>
          <w:i/>
          <w:iCs/>
        </w:rPr>
      </w:pPr>
    </w:p>
    <w:p w14:paraId="68CE4F16" w14:textId="47115864" w:rsidR="00676B73" w:rsidRDefault="007218E3" w:rsidP="008E393E">
      <w:pPr>
        <w:pStyle w:val="BodyText"/>
        <w:numPr>
          <w:ilvl w:val="1"/>
          <w:numId w:val="33"/>
        </w:numPr>
        <w:kinsoku w:val="0"/>
        <w:overflowPunct w:val="0"/>
      </w:pPr>
      <w:r>
        <w:t xml:space="preserve">In Quarter 3, four staff members lodged workers compensation claims for psychological injuries. </w:t>
      </w:r>
    </w:p>
    <w:p w14:paraId="2129925C" w14:textId="410136D7" w:rsidR="007218E3" w:rsidRDefault="007218E3" w:rsidP="008E393E">
      <w:pPr>
        <w:pStyle w:val="BodyText"/>
        <w:numPr>
          <w:ilvl w:val="1"/>
          <w:numId w:val="33"/>
        </w:numPr>
        <w:kinsoku w:val="0"/>
        <w:overflowPunct w:val="0"/>
      </w:pPr>
      <w:r>
        <w:t xml:space="preserve">Each of these claimants </w:t>
      </w:r>
      <w:r w:rsidR="00047F11">
        <w:t xml:space="preserve">resulted in </w:t>
      </w:r>
      <w:r>
        <w:t>lost time.</w:t>
      </w:r>
    </w:p>
    <w:p w14:paraId="4DBCEBA3" w14:textId="77777777" w:rsidR="00676B73" w:rsidRDefault="00676B73" w:rsidP="00676B73">
      <w:pPr>
        <w:pStyle w:val="BodyText"/>
        <w:kinsoku w:val="0"/>
        <w:overflowPunct w:val="0"/>
      </w:pPr>
    </w:p>
    <w:p w14:paraId="5A24DFAB" w14:textId="142BFE82" w:rsidR="00676B73" w:rsidRDefault="00676B73" w:rsidP="008E393E">
      <w:pPr>
        <w:pStyle w:val="BodyText"/>
        <w:kinsoku w:val="0"/>
        <w:overflowPunct w:val="0"/>
        <w:ind w:left="720"/>
      </w:pPr>
      <w:r w:rsidRPr="008E393E">
        <w:rPr>
          <w:b/>
          <w:bCs/>
        </w:rPr>
        <w:t>Mechanism</w:t>
      </w:r>
      <w:r w:rsidR="008E393E" w:rsidRPr="008E393E">
        <w:rPr>
          <w:b/>
          <w:bCs/>
        </w:rPr>
        <w:t>s</w:t>
      </w:r>
      <w:r w:rsidRPr="008E393E">
        <w:rPr>
          <w:b/>
          <w:bCs/>
        </w:rPr>
        <w:t xml:space="preserve"> of Injury </w:t>
      </w:r>
      <w:r w:rsidR="008E393E">
        <w:t xml:space="preserve">(Staff and Students) </w:t>
      </w:r>
    </w:p>
    <w:p w14:paraId="32C2C683" w14:textId="77777777" w:rsidR="007218E3" w:rsidRDefault="007218E3" w:rsidP="008E393E">
      <w:pPr>
        <w:pStyle w:val="BodyText"/>
        <w:kinsoku w:val="0"/>
        <w:overflowPunct w:val="0"/>
        <w:ind w:left="720"/>
      </w:pPr>
    </w:p>
    <w:p w14:paraId="48F7F05D" w14:textId="77777777" w:rsidR="008E393E" w:rsidRDefault="00676B73" w:rsidP="008E393E">
      <w:pPr>
        <w:pStyle w:val="BodyText"/>
        <w:numPr>
          <w:ilvl w:val="1"/>
          <w:numId w:val="33"/>
        </w:numPr>
        <w:kinsoku w:val="0"/>
        <w:overflowPunct w:val="0"/>
      </w:pPr>
      <w:r>
        <w:t xml:space="preserve">The top three mechanisms of injury that occurred </w:t>
      </w:r>
      <w:r w:rsidR="008E393E">
        <w:t>during the period were:</w:t>
      </w:r>
    </w:p>
    <w:p w14:paraId="55A53461" w14:textId="68F70742" w:rsidR="008E393E" w:rsidRDefault="007218E3" w:rsidP="008E393E">
      <w:pPr>
        <w:pStyle w:val="BodyText"/>
        <w:numPr>
          <w:ilvl w:val="2"/>
          <w:numId w:val="33"/>
        </w:numPr>
        <w:kinsoku w:val="0"/>
        <w:overflowPunct w:val="0"/>
      </w:pPr>
      <w:r>
        <w:t xml:space="preserve">Exposure to mental health stress factors </w:t>
      </w:r>
    </w:p>
    <w:p w14:paraId="09D32671" w14:textId="3A14A490" w:rsidR="008E393E" w:rsidRDefault="001A581E" w:rsidP="008E393E">
      <w:pPr>
        <w:pStyle w:val="BodyText"/>
        <w:numPr>
          <w:ilvl w:val="2"/>
          <w:numId w:val="33"/>
        </w:numPr>
        <w:kinsoku w:val="0"/>
        <w:overflowPunct w:val="0"/>
      </w:pPr>
      <w:r>
        <w:t>I</w:t>
      </w:r>
      <w:r w:rsidR="00676B73">
        <w:t xml:space="preserve">llness (excl. psychological) incl. fainting, </w:t>
      </w:r>
      <w:r w:rsidR="004E0263">
        <w:t xml:space="preserve">chest </w:t>
      </w:r>
      <w:r w:rsidR="00676B73">
        <w:t>pain</w:t>
      </w:r>
      <w:r w:rsidR="004E0263">
        <w:t>,</w:t>
      </w:r>
      <w:r w:rsidR="00676B73">
        <w:t xml:space="preserve"> heart palpitations</w:t>
      </w:r>
      <w:r w:rsidR="004E0263">
        <w:t xml:space="preserve"> (students)</w:t>
      </w:r>
      <w:r w:rsidR="008E393E">
        <w:t xml:space="preserve">, </w:t>
      </w:r>
      <w:r w:rsidR="00676B73">
        <w:t>and</w:t>
      </w:r>
    </w:p>
    <w:p w14:paraId="7676B7B6" w14:textId="07BD931E" w:rsidR="00676B73" w:rsidRDefault="004E0263" w:rsidP="008E393E">
      <w:pPr>
        <w:pStyle w:val="BodyText"/>
        <w:numPr>
          <w:ilvl w:val="2"/>
          <w:numId w:val="33"/>
        </w:numPr>
        <w:kinsoku w:val="0"/>
        <w:overflowPunct w:val="0"/>
      </w:pPr>
      <w:r>
        <w:t>F</w:t>
      </w:r>
      <w:r w:rsidR="00676B73">
        <w:t>alls on the same level including slips / trips.</w:t>
      </w:r>
    </w:p>
    <w:p w14:paraId="4372ABD1" w14:textId="77777777" w:rsidR="00676B73" w:rsidRDefault="00676B73" w:rsidP="00676B73">
      <w:pPr>
        <w:pStyle w:val="BodyText"/>
        <w:kinsoku w:val="0"/>
        <w:overflowPunct w:val="0"/>
      </w:pPr>
    </w:p>
    <w:p w14:paraId="0A0EBD27" w14:textId="77777777" w:rsidR="00240DF6" w:rsidRDefault="00240DF6" w:rsidP="00240DF6">
      <w:pPr>
        <w:pStyle w:val="BodyText"/>
        <w:kinsoku w:val="0"/>
        <w:overflowPunct w:val="0"/>
        <w:ind w:left="720"/>
        <w:rPr>
          <w:b/>
          <w:bCs/>
          <w:i/>
          <w:iCs/>
        </w:rPr>
      </w:pPr>
      <w:r w:rsidRPr="00240DF6">
        <w:rPr>
          <w:b/>
          <w:bCs/>
          <w:i/>
          <w:iCs/>
        </w:rPr>
        <w:t xml:space="preserve">Open Incidents </w:t>
      </w:r>
    </w:p>
    <w:p w14:paraId="644C1075" w14:textId="77777777" w:rsidR="007218E3" w:rsidRPr="00240DF6" w:rsidRDefault="007218E3" w:rsidP="00240DF6">
      <w:pPr>
        <w:pStyle w:val="BodyText"/>
        <w:kinsoku w:val="0"/>
        <w:overflowPunct w:val="0"/>
        <w:ind w:left="720"/>
        <w:rPr>
          <w:b/>
          <w:bCs/>
          <w:i/>
          <w:iCs/>
        </w:rPr>
      </w:pPr>
    </w:p>
    <w:p w14:paraId="65D0B4D3" w14:textId="51A01141" w:rsidR="00240DF6" w:rsidRDefault="00240DF6" w:rsidP="00240DF6">
      <w:pPr>
        <w:pStyle w:val="BodyText"/>
        <w:numPr>
          <w:ilvl w:val="1"/>
          <w:numId w:val="33"/>
        </w:numPr>
        <w:kinsoku w:val="0"/>
        <w:overflowPunct w:val="0"/>
      </w:pPr>
      <w:r>
        <w:t xml:space="preserve">Of the </w:t>
      </w:r>
      <w:r w:rsidR="007218E3">
        <w:t xml:space="preserve">49 </w:t>
      </w:r>
      <w:r w:rsidR="00676B73">
        <w:t>incidents lodged</w:t>
      </w:r>
      <w:r>
        <w:t xml:space="preserve"> during the period, </w:t>
      </w:r>
      <w:r w:rsidR="007218E3">
        <w:t>10</w:t>
      </w:r>
      <w:r w:rsidR="00676B73">
        <w:t xml:space="preserve"> remain open in the system, requiring action in relation to completion or finalisation of the action plan.</w:t>
      </w:r>
      <w:r>
        <w:t xml:space="preserve">  </w:t>
      </w:r>
    </w:p>
    <w:p w14:paraId="75352A67" w14:textId="1F8AF2E4" w:rsidR="00676B73" w:rsidRDefault="00240DF6" w:rsidP="00E21B6A">
      <w:pPr>
        <w:pStyle w:val="BodyText"/>
        <w:numPr>
          <w:ilvl w:val="1"/>
          <w:numId w:val="33"/>
        </w:numPr>
        <w:kinsoku w:val="0"/>
        <w:overflowPunct w:val="0"/>
      </w:pPr>
      <w:r>
        <w:t xml:space="preserve">Portfolio leads are </w:t>
      </w:r>
      <w:r w:rsidR="00FD4EB6">
        <w:t>expected</w:t>
      </w:r>
      <w:r w:rsidR="00047F11">
        <w:t xml:space="preserve"> </w:t>
      </w:r>
      <w:r>
        <w:t>to raise the completion of actions and closure of riskware incidents with the</w:t>
      </w:r>
      <w:r w:rsidR="004E0263">
        <w:t>ir</w:t>
      </w:r>
      <w:r>
        <w:t xml:space="preserve"> teams to ensure these are addressed in a timely manner.  Detailed reports on open incidents by Portfolios are available from the Safety &amp; Wellbeing Team on request.</w:t>
      </w:r>
    </w:p>
    <w:p w14:paraId="383CD26B" w14:textId="77777777" w:rsidR="00240DF6" w:rsidRDefault="00240DF6" w:rsidP="00BE4832">
      <w:pPr>
        <w:pStyle w:val="BodyText"/>
        <w:kinsoku w:val="0"/>
        <w:overflowPunct w:val="0"/>
        <w:rPr>
          <w:b/>
          <w:bCs/>
        </w:rPr>
      </w:pPr>
    </w:p>
    <w:p w14:paraId="4DCE7A1A" w14:textId="77777777" w:rsidR="00047F11" w:rsidRDefault="00047F11" w:rsidP="00BE4832">
      <w:pPr>
        <w:pStyle w:val="BodyText"/>
        <w:kinsoku w:val="0"/>
        <w:overflowPunct w:val="0"/>
        <w:rPr>
          <w:b/>
          <w:bCs/>
        </w:rPr>
      </w:pPr>
    </w:p>
    <w:p w14:paraId="7ABF634A" w14:textId="77777777" w:rsidR="00047F11" w:rsidRDefault="00047F11" w:rsidP="00BE4832">
      <w:pPr>
        <w:pStyle w:val="BodyText"/>
        <w:kinsoku w:val="0"/>
        <w:overflowPunct w:val="0"/>
        <w:rPr>
          <w:b/>
          <w:bCs/>
        </w:rPr>
      </w:pPr>
    </w:p>
    <w:p w14:paraId="10316CC2" w14:textId="77777777" w:rsidR="00047F11" w:rsidRDefault="00047F11" w:rsidP="00BE4832">
      <w:pPr>
        <w:pStyle w:val="BodyText"/>
        <w:kinsoku w:val="0"/>
        <w:overflowPunct w:val="0"/>
        <w:rPr>
          <w:b/>
          <w:bCs/>
        </w:rPr>
      </w:pPr>
    </w:p>
    <w:p w14:paraId="1662BF16" w14:textId="1B511222" w:rsidR="00BE4832" w:rsidRPr="008E393E" w:rsidRDefault="00BE4832" w:rsidP="00BE4832">
      <w:pPr>
        <w:pStyle w:val="BodyText"/>
        <w:kinsoku w:val="0"/>
        <w:overflowPunct w:val="0"/>
        <w:rPr>
          <w:b/>
          <w:bCs/>
        </w:rPr>
      </w:pPr>
      <w:r w:rsidRPr="008E393E">
        <w:rPr>
          <w:b/>
          <w:bCs/>
        </w:rPr>
        <w:lastRenderedPageBreak/>
        <w:t>Table 1 – WHS Dashboard for ACU (</w:t>
      </w:r>
      <w:r w:rsidR="000D603E">
        <w:rPr>
          <w:b/>
          <w:bCs/>
        </w:rPr>
        <w:t>July to September</w:t>
      </w:r>
      <w:r w:rsidRPr="008E393E">
        <w:rPr>
          <w:b/>
          <w:bCs/>
        </w:rPr>
        <w:t>)</w:t>
      </w:r>
    </w:p>
    <w:p w14:paraId="4DEE4943" w14:textId="77777777" w:rsidR="00BE4832" w:rsidRDefault="00BE4832" w:rsidP="00BE4832">
      <w:pPr>
        <w:pStyle w:val="BodyText"/>
        <w:kinsoku w:val="0"/>
        <w:overflowPunct w:val="0"/>
      </w:pPr>
    </w:p>
    <w:tbl>
      <w:tblPr>
        <w:tblW w:w="9918"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6" w:space="0" w:color="000000" w:themeColor="text1"/>
        </w:tblBorders>
        <w:tblLayout w:type="fixed"/>
        <w:tblLook w:val="04A0" w:firstRow="1" w:lastRow="0" w:firstColumn="1" w:lastColumn="0" w:noHBand="0" w:noVBand="1"/>
      </w:tblPr>
      <w:tblGrid>
        <w:gridCol w:w="1985"/>
        <w:gridCol w:w="1135"/>
        <w:gridCol w:w="1133"/>
        <w:gridCol w:w="1133"/>
        <w:gridCol w:w="1133"/>
        <w:gridCol w:w="1133"/>
        <w:gridCol w:w="1133"/>
        <w:gridCol w:w="1133"/>
      </w:tblGrid>
      <w:tr w:rsidR="00240DF6" w:rsidRPr="0035061A" w14:paraId="2C59A416" w14:textId="77777777" w:rsidTr="00F33A9E">
        <w:trPr>
          <w:trHeight w:val="562"/>
        </w:trPr>
        <w:tc>
          <w:tcPr>
            <w:tcW w:w="1985" w:type="dxa"/>
            <w:tcBorders>
              <w:bottom w:val="nil"/>
            </w:tcBorders>
            <w:shd w:val="clear" w:color="FFFFFF" w:fill="FF0000"/>
            <w:vAlign w:val="center"/>
            <w:hideMark/>
          </w:tcPr>
          <w:p w14:paraId="10170AC0" w14:textId="38D380DF" w:rsidR="00BE4832" w:rsidRPr="0035061A" w:rsidRDefault="00BE4832" w:rsidP="00F970DA">
            <w:pPr>
              <w:jc w:val="center"/>
              <w:rPr>
                <w:rFonts w:asciiTheme="minorHAnsi" w:hAnsiTheme="minorHAnsi" w:cstheme="minorHAnsi"/>
                <w:b/>
                <w:bCs/>
                <w:color w:val="FFFFFF"/>
                <w:sz w:val="20"/>
                <w:szCs w:val="20"/>
              </w:rPr>
            </w:pPr>
          </w:p>
        </w:tc>
        <w:tc>
          <w:tcPr>
            <w:tcW w:w="1135" w:type="dxa"/>
            <w:shd w:val="clear" w:color="000000" w:fill="FF0000"/>
            <w:hideMark/>
          </w:tcPr>
          <w:p w14:paraId="5F041860" w14:textId="77777777" w:rsidR="00BE4832" w:rsidRPr="0035061A" w:rsidRDefault="00BE4832" w:rsidP="00F970DA">
            <w:pPr>
              <w:rPr>
                <w:rFonts w:asciiTheme="minorHAnsi" w:hAnsiTheme="minorHAnsi" w:cstheme="minorHAnsi"/>
                <w:b/>
                <w:bCs/>
                <w:color w:val="FFFFFF"/>
                <w:sz w:val="20"/>
                <w:szCs w:val="20"/>
              </w:rPr>
            </w:pPr>
            <w:r w:rsidRPr="0035061A">
              <w:rPr>
                <w:rFonts w:asciiTheme="minorHAnsi" w:hAnsiTheme="minorHAnsi" w:cstheme="minorHAnsi"/>
                <w:b/>
                <w:bCs/>
                <w:color w:val="FFFFFF"/>
                <w:sz w:val="20"/>
                <w:szCs w:val="20"/>
              </w:rPr>
              <w:t>COO</w:t>
            </w:r>
          </w:p>
        </w:tc>
        <w:tc>
          <w:tcPr>
            <w:tcW w:w="1133" w:type="dxa"/>
            <w:shd w:val="clear" w:color="000000" w:fill="FF0000"/>
            <w:hideMark/>
          </w:tcPr>
          <w:p w14:paraId="3B2816A8" w14:textId="77777777" w:rsidR="00BE4832" w:rsidRPr="0035061A" w:rsidRDefault="00BE4832" w:rsidP="00F970DA">
            <w:pPr>
              <w:rPr>
                <w:rFonts w:asciiTheme="minorHAnsi" w:hAnsiTheme="minorHAnsi" w:cstheme="minorHAnsi"/>
                <w:b/>
                <w:bCs/>
                <w:color w:val="FFFFFF"/>
                <w:sz w:val="20"/>
                <w:szCs w:val="20"/>
              </w:rPr>
            </w:pPr>
            <w:r w:rsidRPr="0035061A">
              <w:rPr>
                <w:rFonts w:asciiTheme="minorHAnsi" w:hAnsiTheme="minorHAnsi" w:cstheme="minorHAnsi"/>
                <w:b/>
                <w:bCs/>
                <w:color w:val="FFFFFF"/>
                <w:sz w:val="20"/>
                <w:szCs w:val="20"/>
              </w:rPr>
              <w:t>DVC Ethics</w:t>
            </w:r>
          </w:p>
        </w:tc>
        <w:tc>
          <w:tcPr>
            <w:tcW w:w="1133" w:type="dxa"/>
            <w:shd w:val="clear" w:color="000000" w:fill="FF0000"/>
            <w:hideMark/>
          </w:tcPr>
          <w:p w14:paraId="0BFA0792" w14:textId="77777777" w:rsidR="00BE4832" w:rsidRPr="0035061A" w:rsidRDefault="00BE4832" w:rsidP="00F970DA">
            <w:pPr>
              <w:rPr>
                <w:rFonts w:asciiTheme="minorHAnsi" w:hAnsiTheme="minorHAnsi" w:cstheme="minorHAnsi"/>
                <w:b/>
                <w:bCs/>
                <w:color w:val="FFFFFF"/>
                <w:sz w:val="20"/>
                <w:szCs w:val="20"/>
              </w:rPr>
            </w:pPr>
            <w:r w:rsidRPr="0035061A">
              <w:rPr>
                <w:rFonts w:asciiTheme="minorHAnsi" w:hAnsiTheme="minorHAnsi" w:cstheme="minorHAnsi"/>
                <w:b/>
                <w:bCs/>
                <w:color w:val="FFFFFF"/>
                <w:sz w:val="20"/>
                <w:szCs w:val="20"/>
              </w:rPr>
              <w:t>DVCRE</w:t>
            </w:r>
          </w:p>
        </w:tc>
        <w:tc>
          <w:tcPr>
            <w:tcW w:w="1133" w:type="dxa"/>
            <w:shd w:val="clear" w:color="000000" w:fill="FF0000"/>
            <w:hideMark/>
          </w:tcPr>
          <w:p w14:paraId="12012C08" w14:textId="77777777" w:rsidR="00BE4832" w:rsidRPr="0035061A" w:rsidRDefault="00BE4832" w:rsidP="00F970DA">
            <w:pPr>
              <w:rPr>
                <w:rFonts w:asciiTheme="minorHAnsi" w:hAnsiTheme="minorHAnsi" w:cstheme="minorHAnsi"/>
                <w:b/>
                <w:bCs/>
                <w:color w:val="FFFFFF"/>
                <w:sz w:val="20"/>
                <w:szCs w:val="20"/>
              </w:rPr>
            </w:pPr>
            <w:r w:rsidRPr="0035061A">
              <w:rPr>
                <w:rFonts w:asciiTheme="minorHAnsi" w:hAnsiTheme="minorHAnsi" w:cstheme="minorHAnsi"/>
                <w:b/>
                <w:bCs/>
                <w:color w:val="FFFFFF"/>
                <w:sz w:val="20"/>
                <w:szCs w:val="20"/>
              </w:rPr>
              <w:t>Provost</w:t>
            </w:r>
          </w:p>
        </w:tc>
        <w:tc>
          <w:tcPr>
            <w:tcW w:w="1133" w:type="dxa"/>
            <w:shd w:val="clear" w:color="000000" w:fill="FF0000"/>
            <w:hideMark/>
          </w:tcPr>
          <w:p w14:paraId="5202E707" w14:textId="77777777" w:rsidR="00BE4832" w:rsidRPr="0035061A" w:rsidRDefault="00BE4832" w:rsidP="00F970DA">
            <w:pPr>
              <w:rPr>
                <w:rFonts w:asciiTheme="minorHAnsi" w:hAnsiTheme="minorHAnsi" w:cstheme="minorHAnsi"/>
                <w:b/>
                <w:bCs/>
                <w:color w:val="FFFFFF"/>
                <w:sz w:val="20"/>
                <w:szCs w:val="20"/>
              </w:rPr>
            </w:pPr>
            <w:r w:rsidRPr="0035061A">
              <w:rPr>
                <w:rFonts w:asciiTheme="minorHAnsi" w:hAnsiTheme="minorHAnsi" w:cstheme="minorHAnsi"/>
                <w:b/>
                <w:bCs/>
                <w:color w:val="FFFFFF"/>
                <w:sz w:val="20"/>
                <w:szCs w:val="20"/>
              </w:rPr>
              <w:t>VP</w:t>
            </w:r>
          </w:p>
        </w:tc>
        <w:tc>
          <w:tcPr>
            <w:tcW w:w="1133" w:type="dxa"/>
            <w:shd w:val="clear" w:color="000000" w:fill="FF0000"/>
            <w:hideMark/>
          </w:tcPr>
          <w:p w14:paraId="5465D341" w14:textId="77777777" w:rsidR="00BE4832" w:rsidRPr="0035061A" w:rsidRDefault="00BE4832" w:rsidP="00F970DA">
            <w:pPr>
              <w:rPr>
                <w:rFonts w:asciiTheme="minorHAnsi" w:hAnsiTheme="minorHAnsi" w:cstheme="minorHAnsi"/>
                <w:b/>
                <w:bCs/>
                <w:color w:val="FFFFFF"/>
                <w:sz w:val="20"/>
                <w:szCs w:val="20"/>
              </w:rPr>
            </w:pPr>
            <w:r w:rsidRPr="0035061A">
              <w:rPr>
                <w:rFonts w:asciiTheme="minorHAnsi" w:hAnsiTheme="minorHAnsi" w:cstheme="minorHAnsi"/>
                <w:b/>
                <w:bCs/>
                <w:color w:val="FFFFFF"/>
                <w:sz w:val="20"/>
                <w:szCs w:val="20"/>
              </w:rPr>
              <w:t>VCP</w:t>
            </w:r>
          </w:p>
        </w:tc>
        <w:tc>
          <w:tcPr>
            <w:tcW w:w="1133" w:type="dxa"/>
            <w:shd w:val="clear" w:color="000000" w:fill="FF0000"/>
            <w:hideMark/>
          </w:tcPr>
          <w:p w14:paraId="61664B0A" w14:textId="311E39FE" w:rsidR="00BE4832" w:rsidRPr="0035061A" w:rsidRDefault="00BE4832" w:rsidP="00F970DA">
            <w:pPr>
              <w:rPr>
                <w:rFonts w:asciiTheme="minorHAnsi" w:hAnsiTheme="minorHAnsi" w:cstheme="minorHAnsi"/>
                <w:b/>
                <w:bCs/>
                <w:color w:val="FFFFFF"/>
                <w:sz w:val="20"/>
                <w:szCs w:val="20"/>
              </w:rPr>
            </w:pPr>
            <w:r w:rsidRPr="0035061A">
              <w:rPr>
                <w:rFonts w:asciiTheme="minorHAnsi" w:hAnsiTheme="minorHAnsi" w:cstheme="minorHAnsi"/>
                <w:b/>
                <w:bCs/>
                <w:color w:val="FFFFFF"/>
                <w:sz w:val="20"/>
                <w:szCs w:val="20"/>
              </w:rPr>
              <w:t>ACU OVERALL</w:t>
            </w:r>
          </w:p>
        </w:tc>
      </w:tr>
      <w:tr w:rsidR="002E380E" w:rsidRPr="0035061A" w14:paraId="17704D52" w14:textId="77777777" w:rsidTr="00F33A9E">
        <w:trPr>
          <w:trHeight w:val="567"/>
        </w:trPr>
        <w:tc>
          <w:tcPr>
            <w:tcW w:w="1985" w:type="dxa"/>
            <w:tcBorders>
              <w:top w:val="nil"/>
              <w:left w:val="nil"/>
              <w:bottom w:val="nil"/>
              <w:right w:val="nil"/>
            </w:tcBorders>
            <w:shd w:val="clear" w:color="FFFFFF" w:fill="7030A0"/>
            <w:vAlign w:val="center"/>
            <w:hideMark/>
          </w:tcPr>
          <w:p w14:paraId="05F8B796" w14:textId="77777777" w:rsidR="00BE4832" w:rsidRPr="0035061A" w:rsidRDefault="00BE4832" w:rsidP="00F970DA">
            <w:pPr>
              <w:jc w:val="center"/>
              <w:rPr>
                <w:rFonts w:asciiTheme="minorHAnsi" w:hAnsiTheme="minorHAnsi" w:cstheme="minorHAnsi"/>
                <w:b/>
                <w:bCs/>
                <w:color w:val="FFFFFF"/>
                <w:sz w:val="22"/>
                <w:szCs w:val="22"/>
              </w:rPr>
            </w:pPr>
            <w:r w:rsidRPr="0035061A">
              <w:rPr>
                <w:rFonts w:asciiTheme="minorHAnsi" w:hAnsiTheme="minorHAnsi" w:cstheme="minorHAnsi"/>
                <w:b/>
                <w:bCs/>
                <w:color w:val="FFFFFF"/>
                <w:sz w:val="22"/>
                <w:szCs w:val="22"/>
              </w:rPr>
              <w:t>Notifiable Incidents</w:t>
            </w:r>
          </w:p>
        </w:tc>
        <w:tc>
          <w:tcPr>
            <w:tcW w:w="1135" w:type="dxa"/>
            <w:tcBorders>
              <w:left w:val="nil"/>
            </w:tcBorders>
            <w:shd w:val="clear" w:color="auto" w:fill="auto"/>
            <w:noWrap/>
            <w:hideMark/>
          </w:tcPr>
          <w:p w14:paraId="31A7B5EF"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hideMark/>
          </w:tcPr>
          <w:p w14:paraId="09FB4D65"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hideMark/>
          </w:tcPr>
          <w:p w14:paraId="08D4DEAE"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hideMark/>
          </w:tcPr>
          <w:p w14:paraId="696F7B85" w14:textId="6FEB0218" w:rsidR="00BE4832" w:rsidRPr="0035061A" w:rsidRDefault="000978CD"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hideMark/>
          </w:tcPr>
          <w:p w14:paraId="74E29400"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hideMark/>
          </w:tcPr>
          <w:p w14:paraId="3354B96A"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tcPr>
          <w:p w14:paraId="5459E342" w14:textId="428FB309" w:rsidR="00BE4832" w:rsidRPr="0035061A" w:rsidRDefault="000978CD"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r>
      <w:tr w:rsidR="002E380E" w:rsidRPr="0035061A" w14:paraId="4A14D0AA" w14:textId="77777777" w:rsidTr="00F33A9E">
        <w:trPr>
          <w:trHeight w:val="567"/>
        </w:trPr>
        <w:tc>
          <w:tcPr>
            <w:tcW w:w="1985" w:type="dxa"/>
            <w:tcBorders>
              <w:top w:val="nil"/>
              <w:left w:val="nil"/>
              <w:bottom w:val="nil"/>
              <w:right w:val="nil"/>
            </w:tcBorders>
            <w:shd w:val="clear" w:color="FFFFFF" w:fill="7030A0"/>
            <w:vAlign w:val="center"/>
            <w:hideMark/>
          </w:tcPr>
          <w:p w14:paraId="4A52FD4F" w14:textId="77777777" w:rsidR="00BE4832" w:rsidRPr="0035061A" w:rsidRDefault="00BE4832" w:rsidP="00F970DA">
            <w:pPr>
              <w:jc w:val="center"/>
              <w:rPr>
                <w:rFonts w:asciiTheme="minorHAnsi" w:hAnsiTheme="minorHAnsi" w:cstheme="minorHAnsi"/>
                <w:b/>
                <w:bCs/>
                <w:color w:val="FFFFFF"/>
                <w:sz w:val="22"/>
                <w:szCs w:val="22"/>
              </w:rPr>
            </w:pPr>
            <w:r w:rsidRPr="0035061A">
              <w:rPr>
                <w:rFonts w:asciiTheme="minorHAnsi" w:hAnsiTheme="minorHAnsi" w:cstheme="minorHAnsi"/>
                <w:b/>
                <w:bCs/>
                <w:color w:val="FFFFFF"/>
                <w:sz w:val="22"/>
                <w:szCs w:val="22"/>
              </w:rPr>
              <w:t>Total Incidents</w:t>
            </w:r>
          </w:p>
        </w:tc>
        <w:tc>
          <w:tcPr>
            <w:tcW w:w="1135" w:type="dxa"/>
            <w:tcBorders>
              <w:left w:val="nil"/>
            </w:tcBorders>
            <w:shd w:val="clear" w:color="auto" w:fill="auto"/>
            <w:noWrap/>
          </w:tcPr>
          <w:p w14:paraId="6CCC9437" w14:textId="5D0788AD" w:rsidR="00BE4832" w:rsidRPr="0035061A" w:rsidRDefault="000978CD"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3</w:t>
            </w:r>
          </w:p>
        </w:tc>
        <w:tc>
          <w:tcPr>
            <w:tcW w:w="1133" w:type="dxa"/>
            <w:shd w:val="clear" w:color="auto" w:fill="auto"/>
            <w:noWrap/>
          </w:tcPr>
          <w:p w14:paraId="7F5EFDFC" w14:textId="4E208E85" w:rsidR="00BE4832" w:rsidRPr="0035061A" w:rsidRDefault="000978CD"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tcPr>
          <w:p w14:paraId="7A429E0F"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tcPr>
          <w:p w14:paraId="68B6ACD8" w14:textId="796D3828" w:rsidR="00BE4832" w:rsidRPr="0035061A" w:rsidRDefault="000978CD"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44</w:t>
            </w:r>
          </w:p>
        </w:tc>
        <w:tc>
          <w:tcPr>
            <w:tcW w:w="1133" w:type="dxa"/>
            <w:shd w:val="clear" w:color="auto" w:fill="auto"/>
            <w:noWrap/>
          </w:tcPr>
          <w:p w14:paraId="4311BD00" w14:textId="07CB3567" w:rsidR="00BE4832" w:rsidRPr="0035061A" w:rsidRDefault="000978CD"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tcPr>
          <w:p w14:paraId="1A8C7D5F" w14:textId="2C57922B" w:rsidR="00BE4832" w:rsidRPr="0035061A" w:rsidRDefault="000978CD"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2</w:t>
            </w:r>
          </w:p>
        </w:tc>
        <w:tc>
          <w:tcPr>
            <w:tcW w:w="1133" w:type="dxa"/>
            <w:shd w:val="clear" w:color="auto" w:fill="auto"/>
            <w:noWrap/>
          </w:tcPr>
          <w:p w14:paraId="1AB26D38" w14:textId="56A5572C" w:rsidR="00BE4832" w:rsidRPr="0035061A" w:rsidRDefault="000978CD"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49</w:t>
            </w:r>
          </w:p>
        </w:tc>
      </w:tr>
      <w:tr w:rsidR="004E24C8" w:rsidRPr="0035061A" w14:paraId="26C0B385" w14:textId="77777777" w:rsidTr="00F33A9E">
        <w:trPr>
          <w:trHeight w:val="567"/>
        </w:trPr>
        <w:tc>
          <w:tcPr>
            <w:tcW w:w="1985" w:type="dxa"/>
            <w:tcBorders>
              <w:top w:val="nil"/>
              <w:left w:val="nil"/>
              <w:bottom w:val="nil"/>
              <w:right w:val="nil"/>
            </w:tcBorders>
            <w:shd w:val="clear" w:color="FFFFFF" w:fill="7030A0"/>
            <w:vAlign w:val="center"/>
            <w:hideMark/>
          </w:tcPr>
          <w:p w14:paraId="1B95E300" w14:textId="77777777" w:rsidR="004E24C8" w:rsidRPr="0035061A" w:rsidRDefault="004E24C8" w:rsidP="004E24C8">
            <w:pPr>
              <w:jc w:val="center"/>
              <w:rPr>
                <w:rFonts w:asciiTheme="minorHAnsi" w:hAnsiTheme="minorHAnsi" w:cstheme="minorHAnsi"/>
                <w:b/>
                <w:bCs/>
                <w:color w:val="FFFFFF"/>
                <w:sz w:val="22"/>
                <w:szCs w:val="22"/>
              </w:rPr>
            </w:pPr>
            <w:r w:rsidRPr="0035061A">
              <w:rPr>
                <w:rFonts w:asciiTheme="minorHAnsi" w:hAnsiTheme="minorHAnsi" w:cstheme="minorHAnsi"/>
                <w:b/>
                <w:bCs/>
                <w:color w:val="FFFFFF"/>
                <w:sz w:val="22"/>
                <w:szCs w:val="22"/>
              </w:rPr>
              <w:t>Number of Employee Incidents</w:t>
            </w:r>
          </w:p>
        </w:tc>
        <w:tc>
          <w:tcPr>
            <w:tcW w:w="1135" w:type="dxa"/>
            <w:tcBorders>
              <w:left w:val="nil"/>
            </w:tcBorders>
            <w:shd w:val="clear" w:color="auto" w:fill="auto"/>
            <w:noWrap/>
          </w:tcPr>
          <w:p w14:paraId="60323749" w14:textId="5F324488" w:rsidR="004E24C8" w:rsidRPr="0035061A" w:rsidRDefault="000978CD" w:rsidP="004E24C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2</w:t>
            </w:r>
          </w:p>
        </w:tc>
        <w:tc>
          <w:tcPr>
            <w:tcW w:w="1133" w:type="dxa"/>
            <w:shd w:val="clear" w:color="auto" w:fill="auto"/>
            <w:noWrap/>
          </w:tcPr>
          <w:p w14:paraId="017FE5E2" w14:textId="6DB0CAE0" w:rsidR="004E24C8" w:rsidRPr="0035061A" w:rsidRDefault="000978CD" w:rsidP="004E24C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tcPr>
          <w:p w14:paraId="22A2B3F8" w14:textId="0C641577" w:rsidR="004E24C8" w:rsidRPr="0035061A" w:rsidRDefault="004E24C8" w:rsidP="004E24C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tcPr>
          <w:p w14:paraId="56DEF2A8" w14:textId="5D2E2978" w:rsidR="004E24C8" w:rsidRPr="0035061A" w:rsidRDefault="000978CD" w:rsidP="004E24C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10</w:t>
            </w:r>
          </w:p>
        </w:tc>
        <w:tc>
          <w:tcPr>
            <w:tcW w:w="1133" w:type="dxa"/>
            <w:shd w:val="clear" w:color="auto" w:fill="auto"/>
            <w:noWrap/>
          </w:tcPr>
          <w:p w14:paraId="420FF9E6" w14:textId="1C9354D5" w:rsidR="004E24C8" w:rsidRPr="0035061A" w:rsidRDefault="000978CD" w:rsidP="004E24C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tcPr>
          <w:p w14:paraId="79F2CD0F" w14:textId="5D9A442F" w:rsidR="004E24C8" w:rsidRPr="0035061A" w:rsidRDefault="000978CD" w:rsidP="004E24C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2</w:t>
            </w:r>
          </w:p>
        </w:tc>
        <w:tc>
          <w:tcPr>
            <w:tcW w:w="1133" w:type="dxa"/>
            <w:shd w:val="clear" w:color="auto" w:fill="auto"/>
            <w:noWrap/>
          </w:tcPr>
          <w:p w14:paraId="72B1B6DA" w14:textId="065DFA9C" w:rsidR="004E24C8" w:rsidRPr="0035061A" w:rsidRDefault="000978CD" w:rsidP="004E24C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14</w:t>
            </w:r>
          </w:p>
        </w:tc>
      </w:tr>
      <w:tr w:rsidR="004E24C8" w:rsidRPr="0035061A" w14:paraId="2D5EE676" w14:textId="77777777" w:rsidTr="00F33A9E">
        <w:trPr>
          <w:trHeight w:val="567"/>
        </w:trPr>
        <w:tc>
          <w:tcPr>
            <w:tcW w:w="1985" w:type="dxa"/>
            <w:tcBorders>
              <w:top w:val="nil"/>
              <w:left w:val="nil"/>
              <w:bottom w:val="nil"/>
              <w:right w:val="nil"/>
            </w:tcBorders>
            <w:shd w:val="clear" w:color="FFFFFF" w:fill="7030A0"/>
            <w:vAlign w:val="center"/>
            <w:hideMark/>
          </w:tcPr>
          <w:p w14:paraId="49B3C590" w14:textId="77777777" w:rsidR="004E24C8" w:rsidRPr="0035061A" w:rsidRDefault="004E24C8" w:rsidP="004E24C8">
            <w:pPr>
              <w:jc w:val="center"/>
              <w:rPr>
                <w:rFonts w:asciiTheme="minorHAnsi" w:hAnsiTheme="minorHAnsi" w:cstheme="minorHAnsi"/>
                <w:b/>
                <w:bCs/>
                <w:color w:val="FFFFFF"/>
                <w:sz w:val="22"/>
                <w:szCs w:val="22"/>
              </w:rPr>
            </w:pPr>
            <w:r w:rsidRPr="0035061A">
              <w:rPr>
                <w:rFonts w:asciiTheme="minorHAnsi" w:hAnsiTheme="minorHAnsi" w:cstheme="minorHAnsi"/>
                <w:b/>
                <w:bCs/>
                <w:color w:val="FFFFFF"/>
                <w:sz w:val="22"/>
                <w:szCs w:val="22"/>
              </w:rPr>
              <w:t>Number of Student Incidents</w:t>
            </w:r>
          </w:p>
        </w:tc>
        <w:tc>
          <w:tcPr>
            <w:tcW w:w="1135" w:type="dxa"/>
            <w:tcBorders>
              <w:left w:val="nil"/>
            </w:tcBorders>
            <w:shd w:val="clear" w:color="auto" w:fill="auto"/>
            <w:noWrap/>
          </w:tcPr>
          <w:p w14:paraId="10AF13C3" w14:textId="0121AF82" w:rsidR="004E24C8" w:rsidRPr="0035061A" w:rsidRDefault="000978CD" w:rsidP="004E24C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1</w:t>
            </w:r>
          </w:p>
        </w:tc>
        <w:tc>
          <w:tcPr>
            <w:tcW w:w="1133" w:type="dxa"/>
            <w:shd w:val="clear" w:color="auto" w:fill="auto"/>
            <w:noWrap/>
          </w:tcPr>
          <w:p w14:paraId="2795C947" w14:textId="289C00D1" w:rsidR="004E24C8" w:rsidRPr="0035061A" w:rsidRDefault="000978CD" w:rsidP="004E24C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tcPr>
          <w:p w14:paraId="38576D6E" w14:textId="15678326" w:rsidR="004E24C8" w:rsidRPr="0035061A" w:rsidRDefault="000978CD" w:rsidP="004E24C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tcPr>
          <w:p w14:paraId="0D0DD720" w14:textId="1555B20E" w:rsidR="004E24C8" w:rsidRPr="0035061A" w:rsidRDefault="000978CD" w:rsidP="004E24C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31</w:t>
            </w:r>
          </w:p>
        </w:tc>
        <w:tc>
          <w:tcPr>
            <w:tcW w:w="1133" w:type="dxa"/>
            <w:shd w:val="clear" w:color="auto" w:fill="auto"/>
            <w:noWrap/>
          </w:tcPr>
          <w:p w14:paraId="6702A902" w14:textId="0C537867" w:rsidR="004E24C8" w:rsidRPr="0035061A" w:rsidRDefault="000978CD" w:rsidP="004E24C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tcPr>
          <w:p w14:paraId="6C1AAF61" w14:textId="760D9AF0" w:rsidR="004E24C8" w:rsidRPr="0035061A" w:rsidRDefault="000978CD" w:rsidP="004E24C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tcPr>
          <w:p w14:paraId="56C70D87" w14:textId="2DAEAF3E" w:rsidR="004E24C8" w:rsidRPr="0035061A" w:rsidRDefault="000978CD" w:rsidP="004E24C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32</w:t>
            </w:r>
          </w:p>
        </w:tc>
      </w:tr>
      <w:tr w:rsidR="004E24C8" w:rsidRPr="0035061A" w14:paraId="257B07F7" w14:textId="77777777" w:rsidTr="00F33A9E">
        <w:trPr>
          <w:trHeight w:val="567"/>
        </w:trPr>
        <w:tc>
          <w:tcPr>
            <w:tcW w:w="1985" w:type="dxa"/>
            <w:tcBorders>
              <w:top w:val="nil"/>
              <w:left w:val="nil"/>
              <w:bottom w:val="nil"/>
              <w:right w:val="nil"/>
            </w:tcBorders>
            <w:shd w:val="clear" w:color="FFFFFF" w:fill="7030A0"/>
            <w:vAlign w:val="center"/>
            <w:hideMark/>
          </w:tcPr>
          <w:p w14:paraId="2CBBFE5B" w14:textId="77777777" w:rsidR="004E24C8" w:rsidRPr="0035061A" w:rsidRDefault="004E24C8" w:rsidP="004E24C8">
            <w:pPr>
              <w:jc w:val="center"/>
              <w:rPr>
                <w:rFonts w:asciiTheme="minorHAnsi" w:hAnsiTheme="minorHAnsi" w:cstheme="minorHAnsi"/>
                <w:b/>
                <w:bCs/>
                <w:color w:val="FFFFFF"/>
                <w:sz w:val="22"/>
                <w:szCs w:val="22"/>
              </w:rPr>
            </w:pPr>
            <w:r w:rsidRPr="0035061A">
              <w:rPr>
                <w:rFonts w:asciiTheme="minorHAnsi" w:hAnsiTheme="minorHAnsi" w:cstheme="minorHAnsi"/>
                <w:b/>
                <w:bCs/>
                <w:color w:val="FFFFFF"/>
                <w:sz w:val="22"/>
                <w:szCs w:val="22"/>
              </w:rPr>
              <w:t>Number of Visitor Incidents</w:t>
            </w:r>
          </w:p>
        </w:tc>
        <w:tc>
          <w:tcPr>
            <w:tcW w:w="1135" w:type="dxa"/>
            <w:tcBorders>
              <w:left w:val="nil"/>
            </w:tcBorders>
            <w:shd w:val="clear" w:color="auto" w:fill="auto"/>
            <w:noWrap/>
          </w:tcPr>
          <w:p w14:paraId="4319B975" w14:textId="461BF6B8" w:rsidR="004E24C8" w:rsidRPr="0035061A" w:rsidRDefault="000978CD" w:rsidP="004E24C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tcPr>
          <w:p w14:paraId="4CEC9385" w14:textId="3598546B" w:rsidR="004E24C8" w:rsidRPr="0035061A" w:rsidRDefault="000978CD" w:rsidP="004E24C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tcPr>
          <w:p w14:paraId="2AE4433D" w14:textId="46D8B040" w:rsidR="004E24C8" w:rsidRPr="0035061A" w:rsidRDefault="004E24C8" w:rsidP="004E24C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tcPr>
          <w:p w14:paraId="11F4408C" w14:textId="1E34E65C" w:rsidR="004E24C8" w:rsidRPr="0035061A" w:rsidRDefault="000978CD" w:rsidP="004E24C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3</w:t>
            </w:r>
          </w:p>
        </w:tc>
        <w:tc>
          <w:tcPr>
            <w:tcW w:w="1133" w:type="dxa"/>
            <w:shd w:val="clear" w:color="auto" w:fill="auto"/>
            <w:noWrap/>
          </w:tcPr>
          <w:p w14:paraId="625CF5FA" w14:textId="763100FC" w:rsidR="004E24C8" w:rsidRPr="0035061A" w:rsidRDefault="004E24C8" w:rsidP="004E24C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tcPr>
          <w:p w14:paraId="23555DBA" w14:textId="7FA38775" w:rsidR="004E24C8" w:rsidRPr="0035061A" w:rsidRDefault="004E24C8" w:rsidP="004E24C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tcPr>
          <w:p w14:paraId="1CF95D3F" w14:textId="71270FF2" w:rsidR="004E24C8" w:rsidRPr="0035061A" w:rsidRDefault="000978CD" w:rsidP="004E24C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3</w:t>
            </w:r>
          </w:p>
        </w:tc>
      </w:tr>
      <w:tr w:rsidR="004E24C8" w:rsidRPr="0035061A" w14:paraId="22EB5010" w14:textId="77777777" w:rsidTr="00F33A9E">
        <w:trPr>
          <w:trHeight w:val="567"/>
        </w:trPr>
        <w:tc>
          <w:tcPr>
            <w:tcW w:w="1985" w:type="dxa"/>
            <w:tcBorders>
              <w:top w:val="nil"/>
              <w:left w:val="nil"/>
              <w:bottom w:val="nil"/>
              <w:right w:val="nil"/>
            </w:tcBorders>
            <w:shd w:val="clear" w:color="FFFFFF" w:fill="7030A0"/>
            <w:vAlign w:val="center"/>
            <w:hideMark/>
          </w:tcPr>
          <w:p w14:paraId="7BED4C8B" w14:textId="77777777" w:rsidR="004E24C8" w:rsidRPr="0035061A" w:rsidRDefault="004E24C8" w:rsidP="004E24C8">
            <w:pPr>
              <w:jc w:val="center"/>
              <w:rPr>
                <w:rFonts w:asciiTheme="minorHAnsi" w:hAnsiTheme="minorHAnsi" w:cstheme="minorHAnsi"/>
                <w:b/>
                <w:bCs/>
                <w:color w:val="FFFFFF"/>
                <w:sz w:val="22"/>
                <w:szCs w:val="22"/>
              </w:rPr>
            </w:pPr>
            <w:r w:rsidRPr="0035061A">
              <w:rPr>
                <w:rFonts w:asciiTheme="minorHAnsi" w:hAnsiTheme="minorHAnsi" w:cstheme="minorHAnsi"/>
                <w:b/>
                <w:bCs/>
                <w:color w:val="FFFFFF"/>
                <w:sz w:val="22"/>
                <w:szCs w:val="22"/>
              </w:rPr>
              <w:t>Number of Contractor Incidents</w:t>
            </w:r>
          </w:p>
        </w:tc>
        <w:tc>
          <w:tcPr>
            <w:tcW w:w="1135" w:type="dxa"/>
            <w:tcBorders>
              <w:left w:val="nil"/>
            </w:tcBorders>
            <w:shd w:val="clear" w:color="auto" w:fill="auto"/>
            <w:noWrap/>
          </w:tcPr>
          <w:p w14:paraId="599E6B14" w14:textId="2AD84B21" w:rsidR="004E24C8" w:rsidRPr="0035061A" w:rsidRDefault="000978CD" w:rsidP="004E24C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tcPr>
          <w:p w14:paraId="2D7EBE66" w14:textId="301FB1EC" w:rsidR="004E24C8" w:rsidRPr="0035061A" w:rsidRDefault="004E24C8" w:rsidP="004E24C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tcPr>
          <w:p w14:paraId="725B2A9D" w14:textId="5D29DD92" w:rsidR="004E24C8" w:rsidRPr="0035061A" w:rsidRDefault="004E24C8" w:rsidP="004E24C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tcPr>
          <w:p w14:paraId="2E7EC7E4" w14:textId="10FF2E70" w:rsidR="004E24C8" w:rsidRPr="0035061A" w:rsidRDefault="004E24C8" w:rsidP="004E24C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tcPr>
          <w:p w14:paraId="50C73D3C" w14:textId="64D5A32D" w:rsidR="004E24C8" w:rsidRPr="0035061A" w:rsidRDefault="004E24C8" w:rsidP="004E24C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tcPr>
          <w:p w14:paraId="0685049C" w14:textId="60DB1C4D" w:rsidR="004E24C8" w:rsidRPr="0035061A" w:rsidRDefault="004E24C8" w:rsidP="004E24C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tcPr>
          <w:p w14:paraId="380E9809" w14:textId="6E7C0A5B" w:rsidR="004E24C8" w:rsidRPr="0035061A" w:rsidRDefault="007218E3" w:rsidP="004E24C8">
            <w:pPr>
              <w:jc w:val="center"/>
              <w:rPr>
                <w:rFonts w:asciiTheme="minorHAnsi" w:hAnsiTheme="minorHAnsi" w:cstheme="minorHAnsi"/>
                <w:color w:val="000000"/>
                <w:sz w:val="22"/>
                <w:szCs w:val="22"/>
              </w:rPr>
            </w:pPr>
            <w:r>
              <w:rPr>
                <w:rFonts w:asciiTheme="minorHAnsi" w:hAnsiTheme="minorHAnsi" w:cstheme="minorHAnsi"/>
                <w:color w:val="000000"/>
                <w:sz w:val="22"/>
                <w:szCs w:val="22"/>
              </w:rPr>
              <w:t>0</w:t>
            </w:r>
          </w:p>
        </w:tc>
      </w:tr>
      <w:tr w:rsidR="002E380E" w:rsidRPr="0035061A" w14:paraId="1CEAE9BA" w14:textId="77777777" w:rsidTr="00F33A9E">
        <w:trPr>
          <w:trHeight w:val="567"/>
        </w:trPr>
        <w:tc>
          <w:tcPr>
            <w:tcW w:w="1985" w:type="dxa"/>
            <w:tcBorders>
              <w:top w:val="nil"/>
              <w:left w:val="nil"/>
              <w:bottom w:val="nil"/>
              <w:right w:val="nil"/>
            </w:tcBorders>
            <w:shd w:val="clear" w:color="FFFFFF" w:fill="7030A0"/>
            <w:vAlign w:val="center"/>
            <w:hideMark/>
          </w:tcPr>
          <w:p w14:paraId="386B3188" w14:textId="77777777" w:rsidR="00BE4832" w:rsidRPr="0035061A" w:rsidRDefault="00BE4832" w:rsidP="00F970DA">
            <w:pPr>
              <w:jc w:val="center"/>
              <w:rPr>
                <w:rFonts w:asciiTheme="minorHAnsi" w:hAnsiTheme="minorHAnsi" w:cstheme="minorHAnsi"/>
                <w:b/>
                <w:bCs/>
                <w:color w:val="FFFFFF"/>
                <w:sz w:val="22"/>
                <w:szCs w:val="22"/>
              </w:rPr>
            </w:pPr>
            <w:r w:rsidRPr="0035061A">
              <w:rPr>
                <w:rFonts w:asciiTheme="minorHAnsi" w:hAnsiTheme="minorHAnsi" w:cstheme="minorHAnsi"/>
                <w:b/>
                <w:bCs/>
                <w:color w:val="FFFFFF"/>
                <w:sz w:val="22"/>
                <w:szCs w:val="22"/>
              </w:rPr>
              <w:t>Total Hazards</w:t>
            </w:r>
          </w:p>
        </w:tc>
        <w:tc>
          <w:tcPr>
            <w:tcW w:w="1135" w:type="dxa"/>
            <w:tcBorders>
              <w:left w:val="nil"/>
            </w:tcBorders>
            <w:shd w:val="clear" w:color="auto" w:fill="auto"/>
            <w:noWrap/>
          </w:tcPr>
          <w:p w14:paraId="0357FF55" w14:textId="72870333" w:rsidR="00BE4832" w:rsidRPr="0035061A" w:rsidRDefault="007B4874"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3</w:t>
            </w:r>
          </w:p>
        </w:tc>
        <w:tc>
          <w:tcPr>
            <w:tcW w:w="1133" w:type="dxa"/>
            <w:shd w:val="clear" w:color="auto" w:fill="auto"/>
            <w:noWrap/>
          </w:tcPr>
          <w:p w14:paraId="61EB19F2"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tcPr>
          <w:p w14:paraId="134F505A" w14:textId="38EA7AD5" w:rsidR="00BE4832" w:rsidRPr="0035061A" w:rsidRDefault="007B4874"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tcPr>
          <w:p w14:paraId="64CA54B3" w14:textId="4DBE6AF0" w:rsidR="00BE4832" w:rsidRPr="0035061A" w:rsidRDefault="007B4874"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4</w:t>
            </w:r>
          </w:p>
        </w:tc>
        <w:tc>
          <w:tcPr>
            <w:tcW w:w="1133" w:type="dxa"/>
            <w:shd w:val="clear" w:color="auto" w:fill="auto"/>
            <w:noWrap/>
          </w:tcPr>
          <w:p w14:paraId="41204639"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tcPr>
          <w:p w14:paraId="0E32C177" w14:textId="56B4B810" w:rsidR="00BE4832" w:rsidRPr="0035061A" w:rsidRDefault="007B4874"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tcPr>
          <w:p w14:paraId="4C34B404" w14:textId="7D97B2E0" w:rsidR="00BE4832" w:rsidRPr="0035061A" w:rsidRDefault="007B4874"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7</w:t>
            </w:r>
          </w:p>
        </w:tc>
      </w:tr>
      <w:tr w:rsidR="002E380E" w:rsidRPr="0035061A" w14:paraId="40743245" w14:textId="77777777" w:rsidTr="00F33A9E">
        <w:trPr>
          <w:trHeight w:val="567"/>
        </w:trPr>
        <w:tc>
          <w:tcPr>
            <w:tcW w:w="1985" w:type="dxa"/>
            <w:tcBorders>
              <w:top w:val="nil"/>
              <w:left w:val="nil"/>
              <w:bottom w:val="nil"/>
              <w:right w:val="nil"/>
            </w:tcBorders>
            <w:shd w:val="clear" w:color="FFFFFF" w:fill="7030A0"/>
            <w:vAlign w:val="center"/>
            <w:hideMark/>
          </w:tcPr>
          <w:p w14:paraId="7B154A1A" w14:textId="77777777" w:rsidR="00BE4832" w:rsidRPr="0035061A" w:rsidRDefault="00BE4832" w:rsidP="00F970DA">
            <w:pPr>
              <w:jc w:val="center"/>
              <w:rPr>
                <w:rFonts w:asciiTheme="minorHAnsi" w:hAnsiTheme="minorHAnsi" w:cstheme="minorHAnsi"/>
                <w:b/>
                <w:bCs/>
                <w:color w:val="FFFFFF"/>
                <w:sz w:val="22"/>
                <w:szCs w:val="22"/>
              </w:rPr>
            </w:pPr>
            <w:r w:rsidRPr="0035061A">
              <w:rPr>
                <w:rFonts w:asciiTheme="minorHAnsi" w:hAnsiTheme="minorHAnsi" w:cstheme="minorHAnsi"/>
                <w:b/>
                <w:bCs/>
                <w:color w:val="FFFFFF"/>
                <w:sz w:val="22"/>
                <w:szCs w:val="22"/>
              </w:rPr>
              <w:t>Number of Employee Hazards</w:t>
            </w:r>
          </w:p>
        </w:tc>
        <w:tc>
          <w:tcPr>
            <w:tcW w:w="1135" w:type="dxa"/>
            <w:tcBorders>
              <w:left w:val="nil"/>
            </w:tcBorders>
            <w:shd w:val="clear" w:color="auto" w:fill="auto"/>
            <w:noWrap/>
            <w:hideMark/>
          </w:tcPr>
          <w:p w14:paraId="7AC8B6DC" w14:textId="340ACB8E" w:rsidR="00BE4832" w:rsidRPr="0035061A" w:rsidRDefault="007B4874"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3</w:t>
            </w:r>
          </w:p>
        </w:tc>
        <w:tc>
          <w:tcPr>
            <w:tcW w:w="1133" w:type="dxa"/>
            <w:shd w:val="clear" w:color="auto" w:fill="auto"/>
            <w:noWrap/>
            <w:hideMark/>
          </w:tcPr>
          <w:p w14:paraId="011C1A06"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hideMark/>
          </w:tcPr>
          <w:p w14:paraId="2E1F14A6" w14:textId="3BA24D14" w:rsidR="00BE4832" w:rsidRPr="0035061A" w:rsidRDefault="007B4874"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hideMark/>
          </w:tcPr>
          <w:p w14:paraId="7967EE2F" w14:textId="1233EB13" w:rsidR="00BE4832" w:rsidRPr="0035061A" w:rsidRDefault="007B4874"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4</w:t>
            </w:r>
          </w:p>
        </w:tc>
        <w:tc>
          <w:tcPr>
            <w:tcW w:w="1133" w:type="dxa"/>
            <w:shd w:val="clear" w:color="auto" w:fill="auto"/>
            <w:noWrap/>
            <w:hideMark/>
          </w:tcPr>
          <w:p w14:paraId="23296A2A"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hideMark/>
          </w:tcPr>
          <w:p w14:paraId="06DA8A7A" w14:textId="6438D17E" w:rsidR="00BE4832" w:rsidRPr="0035061A" w:rsidRDefault="007B4874"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tcPr>
          <w:p w14:paraId="08FF2D29" w14:textId="1D2FE2FA" w:rsidR="00BE4832" w:rsidRPr="0035061A" w:rsidRDefault="007B4874"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7</w:t>
            </w:r>
          </w:p>
        </w:tc>
      </w:tr>
      <w:tr w:rsidR="002E380E" w:rsidRPr="0035061A" w14:paraId="0E16B788" w14:textId="77777777" w:rsidTr="00F33A9E">
        <w:trPr>
          <w:trHeight w:val="567"/>
        </w:trPr>
        <w:tc>
          <w:tcPr>
            <w:tcW w:w="1985" w:type="dxa"/>
            <w:tcBorders>
              <w:top w:val="nil"/>
              <w:left w:val="nil"/>
              <w:bottom w:val="nil"/>
              <w:right w:val="nil"/>
            </w:tcBorders>
            <w:shd w:val="clear" w:color="FFFFFF" w:fill="7030A0"/>
            <w:vAlign w:val="center"/>
            <w:hideMark/>
          </w:tcPr>
          <w:p w14:paraId="44B959A2" w14:textId="77777777" w:rsidR="00BE4832" w:rsidRPr="0035061A" w:rsidRDefault="00BE4832" w:rsidP="00F970DA">
            <w:pPr>
              <w:jc w:val="center"/>
              <w:rPr>
                <w:rFonts w:asciiTheme="minorHAnsi" w:hAnsiTheme="minorHAnsi" w:cstheme="minorHAnsi"/>
                <w:b/>
                <w:bCs/>
                <w:color w:val="FFFFFF"/>
                <w:sz w:val="22"/>
                <w:szCs w:val="22"/>
              </w:rPr>
            </w:pPr>
            <w:r w:rsidRPr="0035061A">
              <w:rPr>
                <w:rFonts w:asciiTheme="minorHAnsi" w:hAnsiTheme="minorHAnsi" w:cstheme="minorHAnsi"/>
                <w:b/>
                <w:bCs/>
                <w:color w:val="FFFFFF"/>
                <w:sz w:val="22"/>
                <w:szCs w:val="22"/>
              </w:rPr>
              <w:t>Number of Student Hazards</w:t>
            </w:r>
          </w:p>
        </w:tc>
        <w:tc>
          <w:tcPr>
            <w:tcW w:w="1135" w:type="dxa"/>
            <w:tcBorders>
              <w:left w:val="nil"/>
            </w:tcBorders>
            <w:shd w:val="clear" w:color="auto" w:fill="auto"/>
            <w:noWrap/>
            <w:hideMark/>
          </w:tcPr>
          <w:p w14:paraId="15B06A28"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hideMark/>
          </w:tcPr>
          <w:p w14:paraId="2BE52CE4"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hideMark/>
          </w:tcPr>
          <w:p w14:paraId="11F7EEB0"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hideMark/>
          </w:tcPr>
          <w:p w14:paraId="6F8C90D4" w14:textId="50C94BBD" w:rsidR="00BE4832" w:rsidRPr="0035061A" w:rsidRDefault="007B4874"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hideMark/>
          </w:tcPr>
          <w:p w14:paraId="7E9D0C5F"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hideMark/>
          </w:tcPr>
          <w:p w14:paraId="69F0A659"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tcPr>
          <w:p w14:paraId="502A9EB0" w14:textId="1532FD3C" w:rsidR="00BE4832" w:rsidRPr="0035061A" w:rsidRDefault="007B4874"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r>
      <w:tr w:rsidR="002E380E" w:rsidRPr="0035061A" w14:paraId="6A53C37E" w14:textId="77777777" w:rsidTr="00F33A9E">
        <w:trPr>
          <w:trHeight w:val="567"/>
        </w:trPr>
        <w:tc>
          <w:tcPr>
            <w:tcW w:w="1985" w:type="dxa"/>
            <w:tcBorders>
              <w:top w:val="nil"/>
              <w:left w:val="nil"/>
              <w:bottom w:val="nil"/>
              <w:right w:val="nil"/>
            </w:tcBorders>
            <w:shd w:val="clear" w:color="FFFFFF" w:fill="7030A0"/>
            <w:vAlign w:val="center"/>
            <w:hideMark/>
          </w:tcPr>
          <w:p w14:paraId="188B9DF9" w14:textId="77777777" w:rsidR="00BE4832" w:rsidRPr="0035061A" w:rsidRDefault="00BE4832" w:rsidP="00F970DA">
            <w:pPr>
              <w:jc w:val="center"/>
              <w:rPr>
                <w:rFonts w:asciiTheme="minorHAnsi" w:hAnsiTheme="minorHAnsi" w:cstheme="minorHAnsi"/>
                <w:b/>
                <w:bCs/>
                <w:color w:val="FFFFFF"/>
                <w:sz w:val="22"/>
                <w:szCs w:val="22"/>
              </w:rPr>
            </w:pPr>
            <w:r w:rsidRPr="0035061A">
              <w:rPr>
                <w:rFonts w:asciiTheme="minorHAnsi" w:hAnsiTheme="minorHAnsi" w:cstheme="minorHAnsi"/>
                <w:b/>
                <w:bCs/>
                <w:color w:val="FFFFFF"/>
                <w:sz w:val="22"/>
                <w:szCs w:val="22"/>
              </w:rPr>
              <w:t>Number of Visitor Hazards</w:t>
            </w:r>
          </w:p>
        </w:tc>
        <w:tc>
          <w:tcPr>
            <w:tcW w:w="1135" w:type="dxa"/>
            <w:tcBorders>
              <w:left w:val="nil"/>
            </w:tcBorders>
            <w:shd w:val="clear" w:color="auto" w:fill="auto"/>
            <w:noWrap/>
            <w:hideMark/>
          </w:tcPr>
          <w:p w14:paraId="3F380A76"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hideMark/>
          </w:tcPr>
          <w:p w14:paraId="63F622C3"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hideMark/>
          </w:tcPr>
          <w:p w14:paraId="74A08122"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hideMark/>
          </w:tcPr>
          <w:p w14:paraId="4C86DD94"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hideMark/>
          </w:tcPr>
          <w:p w14:paraId="6CEF43B7"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hideMark/>
          </w:tcPr>
          <w:p w14:paraId="3205B23A"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tcPr>
          <w:p w14:paraId="1F932088"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r>
      <w:tr w:rsidR="002E380E" w:rsidRPr="0035061A" w14:paraId="1F08C9AA" w14:textId="77777777" w:rsidTr="00F33A9E">
        <w:trPr>
          <w:trHeight w:val="567"/>
        </w:trPr>
        <w:tc>
          <w:tcPr>
            <w:tcW w:w="1985" w:type="dxa"/>
            <w:tcBorders>
              <w:top w:val="nil"/>
              <w:left w:val="nil"/>
              <w:bottom w:val="nil"/>
              <w:right w:val="nil"/>
            </w:tcBorders>
            <w:shd w:val="clear" w:color="FFFFFF" w:fill="7030A0"/>
            <w:vAlign w:val="center"/>
            <w:hideMark/>
          </w:tcPr>
          <w:p w14:paraId="2A7F9A8E" w14:textId="77777777" w:rsidR="00BE4832" w:rsidRPr="0035061A" w:rsidRDefault="00BE4832" w:rsidP="00F970DA">
            <w:pPr>
              <w:jc w:val="center"/>
              <w:rPr>
                <w:rFonts w:asciiTheme="minorHAnsi" w:hAnsiTheme="minorHAnsi" w:cstheme="minorHAnsi"/>
                <w:b/>
                <w:bCs/>
                <w:color w:val="FFFFFF"/>
                <w:sz w:val="22"/>
                <w:szCs w:val="22"/>
              </w:rPr>
            </w:pPr>
            <w:r w:rsidRPr="0035061A">
              <w:rPr>
                <w:rFonts w:asciiTheme="minorHAnsi" w:hAnsiTheme="minorHAnsi" w:cstheme="minorHAnsi"/>
                <w:b/>
                <w:bCs/>
                <w:color w:val="FFFFFF"/>
                <w:sz w:val="22"/>
                <w:szCs w:val="22"/>
              </w:rPr>
              <w:t>Number of Contractor Hazards</w:t>
            </w:r>
          </w:p>
        </w:tc>
        <w:tc>
          <w:tcPr>
            <w:tcW w:w="1135" w:type="dxa"/>
            <w:tcBorders>
              <w:left w:val="nil"/>
            </w:tcBorders>
            <w:shd w:val="clear" w:color="auto" w:fill="auto"/>
            <w:noWrap/>
            <w:hideMark/>
          </w:tcPr>
          <w:p w14:paraId="7C5914FF" w14:textId="393B0824" w:rsidR="00BE4832" w:rsidRPr="0035061A" w:rsidRDefault="007B4874"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hideMark/>
          </w:tcPr>
          <w:p w14:paraId="00876B8F"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hideMark/>
          </w:tcPr>
          <w:p w14:paraId="6635F63C"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hideMark/>
          </w:tcPr>
          <w:p w14:paraId="3F3438DC"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hideMark/>
          </w:tcPr>
          <w:p w14:paraId="517625CA"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hideMark/>
          </w:tcPr>
          <w:p w14:paraId="3C94965E" w14:textId="77777777" w:rsidR="00BE4832" w:rsidRPr="0035061A" w:rsidRDefault="00BE4832"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c>
          <w:tcPr>
            <w:tcW w:w="1133" w:type="dxa"/>
            <w:shd w:val="clear" w:color="auto" w:fill="auto"/>
            <w:noWrap/>
          </w:tcPr>
          <w:p w14:paraId="2B5961C7" w14:textId="23BE661A" w:rsidR="00BE4832" w:rsidRPr="0035061A" w:rsidRDefault="007B4874"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0</w:t>
            </w:r>
          </w:p>
        </w:tc>
      </w:tr>
      <w:tr w:rsidR="002E380E" w:rsidRPr="0035061A" w14:paraId="29854C80" w14:textId="77777777" w:rsidTr="00F33A9E">
        <w:trPr>
          <w:trHeight w:val="567"/>
        </w:trPr>
        <w:tc>
          <w:tcPr>
            <w:tcW w:w="1985" w:type="dxa"/>
            <w:tcBorders>
              <w:top w:val="nil"/>
              <w:left w:val="nil"/>
              <w:bottom w:val="nil"/>
              <w:right w:val="nil"/>
            </w:tcBorders>
            <w:shd w:val="clear" w:color="FFFFFF" w:fill="7030A0"/>
            <w:vAlign w:val="center"/>
            <w:hideMark/>
          </w:tcPr>
          <w:p w14:paraId="2F2D4557" w14:textId="187969D9" w:rsidR="00BE4832" w:rsidRPr="0035061A" w:rsidRDefault="001A581E" w:rsidP="00F970DA">
            <w:pPr>
              <w:jc w:val="center"/>
              <w:rPr>
                <w:rFonts w:asciiTheme="minorHAnsi" w:hAnsiTheme="minorHAnsi" w:cstheme="minorHAnsi"/>
                <w:b/>
                <w:bCs/>
                <w:color w:val="FFFFFF"/>
                <w:sz w:val="22"/>
                <w:szCs w:val="22"/>
              </w:rPr>
            </w:pPr>
            <w:r w:rsidRPr="0035061A">
              <w:rPr>
                <w:rFonts w:asciiTheme="minorHAnsi" w:hAnsiTheme="minorHAnsi" w:cstheme="minorHAnsi"/>
                <w:b/>
                <w:bCs/>
                <w:color w:val="FFFFFF"/>
                <w:sz w:val="22"/>
                <w:szCs w:val="22"/>
              </w:rPr>
              <w:t>Incidents</w:t>
            </w:r>
            <w:r w:rsidR="00BE4832" w:rsidRPr="0035061A">
              <w:rPr>
                <w:rFonts w:asciiTheme="minorHAnsi" w:hAnsiTheme="minorHAnsi" w:cstheme="minorHAnsi"/>
                <w:b/>
                <w:bCs/>
                <w:color w:val="FFFFFF"/>
                <w:sz w:val="22"/>
                <w:szCs w:val="22"/>
              </w:rPr>
              <w:t xml:space="preserve"> Remaining Open</w:t>
            </w:r>
          </w:p>
        </w:tc>
        <w:tc>
          <w:tcPr>
            <w:tcW w:w="1135" w:type="dxa"/>
            <w:tcBorders>
              <w:left w:val="nil"/>
            </w:tcBorders>
            <w:shd w:val="clear" w:color="auto" w:fill="auto"/>
            <w:noWrap/>
            <w:hideMark/>
          </w:tcPr>
          <w:p w14:paraId="76C9F87D" w14:textId="7CBF196D" w:rsidR="00BE4832" w:rsidRPr="0035061A" w:rsidRDefault="007B4874" w:rsidP="00F970DA">
            <w:pPr>
              <w:jc w:val="center"/>
              <w:rPr>
                <w:rFonts w:asciiTheme="minorHAnsi" w:hAnsiTheme="minorHAnsi" w:cstheme="minorHAnsi"/>
                <w:sz w:val="22"/>
                <w:szCs w:val="22"/>
              </w:rPr>
            </w:pPr>
            <w:r w:rsidRPr="0035061A">
              <w:rPr>
                <w:rFonts w:asciiTheme="minorHAnsi" w:hAnsiTheme="minorHAnsi" w:cstheme="minorHAnsi"/>
                <w:sz w:val="22"/>
                <w:szCs w:val="22"/>
              </w:rPr>
              <w:t>2</w:t>
            </w:r>
          </w:p>
        </w:tc>
        <w:tc>
          <w:tcPr>
            <w:tcW w:w="1133" w:type="dxa"/>
            <w:shd w:val="clear" w:color="auto" w:fill="auto"/>
            <w:noWrap/>
            <w:hideMark/>
          </w:tcPr>
          <w:p w14:paraId="3D4EC41A" w14:textId="77777777" w:rsidR="00BE4832" w:rsidRPr="0035061A" w:rsidRDefault="00BE4832" w:rsidP="00F970DA">
            <w:pPr>
              <w:jc w:val="center"/>
              <w:rPr>
                <w:rFonts w:asciiTheme="minorHAnsi" w:hAnsiTheme="minorHAnsi" w:cstheme="minorHAnsi"/>
                <w:sz w:val="22"/>
                <w:szCs w:val="22"/>
              </w:rPr>
            </w:pPr>
            <w:r w:rsidRPr="0035061A">
              <w:rPr>
                <w:rFonts w:asciiTheme="minorHAnsi" w:hAnsiTheme="minorHAnsi" w:cstheme="minorHAnsi"/>
                <w:sz w:val="22"/>
                <w:szCs w:val="22"/>
              </w:rPr>
              <w:t>0</w:t>
            </w:r>
          </w:p>
        </w:tc>
        <w:tc>
          <w:tcPr>
            <w:tcW w:w="1133" w:type="dxa"/>
            <w:shd w:val="clear" w:color="auto" w:fill="auto"/>
            <w:noWrap/>
            <w:hideMark/>
          </w:tcPr>
          <w:p w14:paraId="11C5FA7B" w14:textId="77777777" w:rsidR="00BE4832" w:rsidRPr="0035061A" w:rsidRDefault="00BE4832" w:rsidP="00F970DA">
            <w:pPr>
              <w:jc w:val="center"/>
              <w:rPr>
                <w:rFonts w:asciiTheme="minorHAnsi" w:hAnsiTheme="minorHAnsi" w:cstheme="minorHAnsi"/>
                <w:sz w:val="22"/>
                <w:szCs w:val="22"/>
              </w:rPr>
            </w:pPr>
            <w:r w:rsidRPr="0035061A">
              <w:rPr>
                <w:rFonts w:asciiTheme="minorHAnsi" w:hAnsiTheme="minorHAnsi" w:cstheme="minorHAnsi"/>
                <w:sz w:val="22"/>
                <w:szCs w:val="22"/>
              </w:rPr>
              <w:t>0</w:t>
            </w:r>
          </w:p>
        </w:tc>
        <w:tc>
          <w:tcPr>
            <w:tcW w:w="1133" w:type="dxa"/>
            <w:shd w:val="clear" w:color="auto" w:fill="auto"/>
            <w:noWrap/>
            <w:hideMark/>
          </w:tcPr>
          <w:p w14:paraId="7326FCC6" w14:textId="7C6A1DCE" w:rsidR="00BE4832" w:rsidRPr="0035061A" w:rsidRDefault="007B4874" w:rsidP="00F970DA">
            <w:pPr>
              <w:jc w:val="center"/>
              <w:rPr>
                <w:rFonts w:asciiTheme="minorHAnsi" w:hAnsiTheme="minorHAnsi" w:cstheme="minorHAnsi"/>
                <w:sz w:val="22"/>
                <w:szCs w:val="22"/>
              </w:rPr>
            </w:pPr>
            <w:r w:rsidRPr="0035061A">
              <w:rPr>
                <w:rFonts w:asciiTheme="minorHAnsi" w:hAnsiTheme="minorHAnsi" w:cstheme="minorHAnsi"/>
                <w:sz w:val="22"/>
                <w:szCs w:val="22"/>
              </w:rPr>
              <w:t>7</w:t>
            </w:r>
          </w:p>
        </w:tc>
        <w:tc>
          <w:tcPr>
            <w:tcW w:w="1133" w:type="dxa"/>
            <w:shd w:val="clear" w:color="auto" w:fill="auto"/>
            <w:noWrap/>
            <w:hideMark/>
          </w:tcPr>
          <w:p w14:paraId="39BC2BB2" w14:textId="258D4812" w:rsidR="00BE4832" w:rsidRPr="0035061A" w:rsidRDefault="007B4874" w:rsidP="00F970DA">
            <w:pPr>
              <w:jc w:val="center"/>
              <w:rPr>
                <w:rFonts w:asciiTheme="minorHAnsi" w:hAnsiTheme="minorHAnsi" w:cstheme="minorHAnsi"/>
                <w:sz w:val="22"/>
                <w:szCs w:val="22"/>
              </w:rPr>
            </w:pPr>
            <w:r w:rsidRPr="0035061A">
              <w:rPr>
                <w:rFonts w:asciiTheme="minorHAnsi" w:hAnsiTheme="minorHAnsi" w:cstheme="minorHAnsi"/>
                <w:sz w:val="22"/>
                <w:szCs w:val="22"/>
              </w:rPr>
              <w:t>0</w:t>
            </w:r>
          </w:p>
        </w:tc>
        <w:tc>
          <w:tcPr>
            <w:tcW w:w="1133" w:type="dxa"/>
            <w:shd w:val="clear" w:color="auto" w:fill="auto"/>
            <w:noWrap/>
            <w:hideMark/>
          </w:tcPr>
          <w:p w14:paraId="02E51792" w14:textId="3DB080AA" w:rsidR="00BE4832" w:rsidRPr="0035061A" w:rsidRDefault="007B4874" w:rsidP="00F970DA">
            <w:pPr>
              <w:jc w:val="center"/>
              <w:rPr>
                <w:rFonts w:asciiTheme="minorHAnsi" w:hAnsiTheme="minorHAnsi" w:cstheme="minorHAnsi"/>
                <w:sz w:val="22"/>
                <w:szCs w:val="22"/>
              </w:rPr>
            </w:pPr>
            <w:r w:rsidRPr="0035061A">
              <w:rPr>
                <w:rFonts w:asciiTheme="minorHAnsi" w:hAnsiTheme="minorHAnsi" w:cstheme="minorHAnsi"/>
                <w:sz w:val="22"/>
                <w:szCs w:val="22"/>
              </w:rPr>
              <w:t>1</w:t>
            </w:r>
          </w:p>
        </w:tc>
        <w:tc>
          <w:tcPr>
            <w:tcW w:w="1133" w:type="dxa"/>
            <w:shd w:val="clear" w:color="auto" w:fill="auto"/>
            <w:noWrap/>
            <w:hideMark/>
          </w:tcPr>
          <w:p w14:paraId="29C5EF97" w14:textId="163ED6E5" w:rsidR="00BE4832" w:rsidRPr="0035061A" w:rsidRDefault="007B4874"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10</w:t>
            </w:r>
          </w:p>
        </w:tc>
      </w:tr>
      <w:tr w:rsidR="002E380E" w:rsidRPr="0035061A" w14:paraId="5574111E" w14:textId="77777777" w:rsidTr="00F33A9E">
        <w:trPr>
          <w:trHeight w:val="567"/>
        </w:trPr>
        <w:tc>
          <w:tcPr>
            <w:tcW w:w="1985" w:type="dxa"/>
            <w:tcBorders>
              <w:top w:val="nil"/>
              <w:left w:val="nil"/>
              <w:bottom w:val="nil"/>
              <w:right w:val="nil"/>
            </w:tcBorders>
            <w:shd w:val="clear" w:color="FFFFFF" w:fill="7030A0"/>
            <w:vAlign w:val="center"/>
            <w:hideMark/>
          </w:tcPr>
          <w:p w14:paraId="79D49068" w14:textId="77777777" w:rsidR="00BE4832" w:rsidRPr="0035061A" w:rsidRDefault="00BE4832" w:rsidP="00F970DA">
            <w:pPr>
              <w:jc w:val="center"/>
              <w:rPr>
                <w:rFonts w:asciiTheme="minorHAnsi" w:hAnsiTheme="minorHAnsi" w:cstheme="minorHAnsi"/>
                <w:b/>
                <w:bCs/>
                <w:color w:val="FFFFFF"/>
                <w:sz w:val="22"/>
                <w:szCs w:val="22"/>
              </w:rPr>
            </w:pPr>
            <w:r w:rsidRPr="0035061A">
              <w:rPr>
                <w:rFonts w:asciiTheme="minorHAnsi" w:hAnsiTheme="minorHAnsi" w:cstheme="minorHAnsi"/>
                <w:b/>
                <w:bCs/>
                <w:color w:val="FFFFFF"/>
                <w:sz w:val="22"/>
                <w:szCs w:val="22"/>
              </w:rPr>
              <w:t>WC Claims Lodged</w:t>
            </w:r>
          </w:p>
        </w:tc>
        <w:tc>
          <w:tcPr>
            <w:tcW w:w="1135" w:type="dxa"/>
            <w:tcBorders>
              <w:left w:val="nil"/>
            </w:tcBorders>
            <w:shd w:val="clear" w:color="auto" w:fill="auto"/>
            <w:noWrap/>
            <w:hideMark/>
          </w:tcPr>
          <w:p w14:paraId="6AB4D1AD" w14:textId="6DCFF839" w:rsidR="00BE4832" w:rsidRPr="0035061A" w:rsidRDefault="007B4874" w:rsidP="00F970DA">
            <w:pPr>
              <w:jc w:val="center"/>
              <w:rPr>
                <w:rFonts w:asciiTheme="minorHAnsi" w:hAnsiTheme="minorHAnsi" w:cstheme="minorHAnsi"/>
                <w:sz w:val="22"/>
                <w:szCs w:val="22"/>
              </w:rPr>
            </w:pPr>
            <w:r w:rsidRPr="0035061A">
              <w:rPr>
                <w:rFonts w:asciiTheme="minorHAnsi" w:hAnsiTheme="minorHAnsi" w:cstheme="minorHAnsi"/>
                <w:sz w:val="22"/>
                <w:szCs w:val="22"/>
              </w:rPr>
              <w:t>3</w:t>
            </w:r>
          </w:p>
        </w:tc>
        <w:tc>
          <w:tcPr>
            <w:tcW w:w="1133" w:type="dxa"/>
            <w:shd w:val="clear" w:color="auto" w:fill="auto"/>
            <w:noWrap/>
            <w:hideMark/>
          </w:tcPr>
          <w:p w14:paraId="35DCC944" w14:textId="6BA7A6F8" w:rsidR="00BE4832" w:rsidRPr="0035061A" w:rsidRDefault="007B4874" w:rsidP="00F970DA">
            <w:pPr>
              <w:jc w:val="center"/>
              <w:rPr>
                <w:rFonts w:asciiTheme="minorHAnsi" w:hAnsiTheme="minorHAnsi" w:cstheme="minorHAnsi"/>
                <w:sz w:val="22"/>
                <w:szCs w:val="22"/>
              </w:rPr>
            </w:pPr>
            <w:r w:rsidRPr="0035061A">
              <w:rPr>
                <w:rFonts w:asciiTheme="minorHAnsi" w:hAnsiTheme="minorHAnsi" w:cstheme="minorHAnsi"/>
                <w:sz w:val="22"/>
                <w:szCs w:val="22"/>
              </w:rPr>
              <w:t>0</w:t>
            </w:r>
          </w:p>
        </w:tc>
        <w:tc>
          <w:tcPr>
            <w:tcW w:w="1133" w:type="dxa"/>
            <w:shd w:val="clear" w:color="auto" w:fill="auto"/>
            <w:noWrap/>
            <w:hideMark/>
          </w:tcPr>
          <w:p w14:paraId="7222135C" w14:textId="77777777" w:rsidR="00BE4832" w:rsidRPr="0035061A" w:rsidRDefault="00BE4832" w:rsidP="00F970DA">
            <w:pPr>
              <w:jc w:val="center"/>
              <w:rPr>
                <w:rFonts w:asciiTheme="minorHAnsi" w:hAnsiTheme="minorHAnsi" w:cstheme="minorHAnsi"/>
                <w:sz w:val="22"/>
                <w:szCs w:val="22"/>
              </w:rPr>
            </w:pPr>
            <w:r w:rsidRPr="0035061A">
              <w:rPr>
                <w:rFonts w:asciiTheme="minorHAnsi" w:hAnsiTheme="minorHAnsi" w:cstheme="minorHAnsi"/>
                <w:sz w:val="22"/>
                <w:szCs w:val="22"/>
              </w:rPr>
              <w:t>0</w:t>
            </w:r>
          </w:p>
        </w:tc>
        <w:tc>
          <w:tcPr>
            <w:tcW w:w="1133" w:type="dxa"/>
            <w:shd w:val="clear" w:color="auto" w:fill="auto"/>
            <w:noWrap/>
            <w:hideMark/>
          </w:tcPr>
          <w:p w14:paraId="204DB293" w14:textId="610D38DE" w:rsidR="00BE4832" w:rsidRPr="0035061A" w:rsidRDefault="007B4874" w:rsidP="00F970DA">
            <w:pPr>
              <w:jc w:val="center"/>
              <w:rPr>
                <w:rFonts w:asciiTheme="minorHAnsi" w:hAnsiTheme="minorHAnsi" w:cstheme="minorHAnsi"/>
                <w:sz w:val="22"/>
                <w:szCs w:val="22"/>
              </w:rPr>
            </w:pPr>
            <w:r w:rsidRPr="0035061A">
              <w:rPr>
                <w:rFonts w:asciiTheme="minorHAnsi" w:hAnsiTheme="minorHAnsi" w:cstheme="minorHAnsi"/>
                <w:sz w:val="22"/>
                <w:szCs w:val="22"/>
              </w:rPr>
              <w:t>5</w:t>
            </w:r>
          </w:p>
        </w:tc>
        <w:tc>
          <w:tcPr>
            <w:tcW w:w="1133" w:type="dxa"/>
            <w:shd w:val="clear" w:color="auto" w:fill="auto"/>
            <w:noWrap/>
            <w:hideMark/>
          </w:tcPr>
          <w:p w14:paraId="5FC87882" w14:textId="77777777" w:rsidR="00BE4832" w:rsidRPr="0035061A" w:rsidRDefault="00BE4832" w:rsidP="00F970DA">
            <w:pPr>
              <w:jc w:val="center"/>
              <w:rPr>
                <w:rFonts w:asciiTheme="minorHAnsi" w:hAnsiTheme="minorHAnsi" w:cstheme="minorHAnsi"/>
                <w:sz w:val="22"/>
                <w:szCs w:val="22"/>
              </w:rPr>
            </w:pPr>
            <w:r w:rsidRPr="0035061A">
              <w:rPr>
                <w:rFonts w:asciiTheme="minorHAnsi" w:hAnsiTheme="minorHAnsi" w:cstheme="minorHAnsi"/>
                <w:sz w:val="22"/>
                <w:szCs w:val="22"/>
              </w:rPr>
              <w:t>0</w:t>
            </w:r>
          </w:p>
        </w:tc>
        <w:tc>
          <w:tcPr>
            <w:tcW w:w="1133" w:type="dxa"/>
            <w:shd w:val="clear" w:color="auto" w:fill="auto"/>
            <w:noWrap/>
            <w:hideMark/>
          </w:tcPr>
          <w:p w14:paraId="28C3FB87" w14:textId="77777777" w:rsidR="00BE4832" w:rsidRPr="0035061A" w:rsidRDefault="00BE4832" w:rsidP="00F970DA">
            <w:pPr>
              <w:jc w:val="center"/>
              <w:rPr>
                <w:rFonts w:asciiTheme="minorHAnsi" w:hAnsiTheme="minorHAnsi" w:cstheme="minorHAnsi"/>
                <w:sz w:val="22"/>
                <w:szCs w:val="22"/>
              </w:rPr>
            </w:pPr>
            <w:r w:rsidRPr="0035061A">
              <w:rPr>
                <w:rFonts w:asciiTheme="minorHAnsi" w:hAnsiTheme="minorHAnsi" w:cstheme="minorHAnsi"/>
                <w:sz w:val="22"/>
                <w:szCs w:val="22"/>
              </w:rPr>
              <w:t>0</w:t>
            </w:r>
          </w:p>
        </w:tc>
        <w:tc>
          <w:tcPr>
            <w:tcW w:w="1133" w:type="dxa"/>
            <w:shd w:val="clear" w:color="auto" w:fill="auto"/>
            <w:noWrap/>
            <w:hideMark/>
          </w:tcPr>
          <w:p w14:paraId="01953DE4" w14:textId="1274BAEB" w:rsidR="00BE4832" w:rsidRPr="0035061A" w:rsidRDefault="007B4874"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8</w:t>
            </w:r>
          </w:p>
        </w:tc>
      </w:tr>
      <w:tr w:rsidR="002E380E" w:rsidRPr="0035061A" w14:paraId="19149B2B" w14:textId="77777777" w:rsidTr="00F33A9E">
        <w:trPr>
          <w:trHeight w:val="567"/>
        </w:trPr>
        <w:tc>
          <w:tcPr>
            <w:tcW w:w="1985" w:type="dxa"/>
            <w:tcBorders>
              <w:top w:val="nil"/>
              <w:left w:val="nil"/>
              <w:bottom w:val="nil"/>
              <w:right w:val="nil"/>
            </w:tcBorders>
            <w:shd w:val="clear" w:color="FFFFFF" w:fill="7030A0"/>
            <w:vAlign w:val="center"/>
            <w:hideMark/>
          </w:tcPr>
          <w:p w14:paraId="60C19C11" w14:textId="77777777" w:rsidR="00BE4832" w:rsidRPr="0035061A" w:rsidRDefault="00BE4832" w:rsidP="00F970DA">
            <w:pPr>
              <w:jc w:val="center"/>
              <w:rPr>
                <w:rFonts w:asciiTheme="minorHAnsi" w:hAnsiTheme="minorHAnsi" w:cstheme="minorHAnsi"/>
                <w:b/>
                <w:bCs/>
                <w:color w:val="FFFFFF"/>
                <w:sz w:val="22"/>
                <w:szCs w:val="22"/>
              </w:rPr>
            </w:pPr>
            <w:r w:rsidRPr="0035061A">
              <w:rPr>
                <w:rFonts w:asciiTheme="minorHAnsi" w:hAnsiTheme="minorHAnsi" w:cstheme="minorHAnsi"/>
                <w:b/>
                <w:bCs/>
                <w:color w:val="FFFFFF"/>
                <w:sz w:val="22"/>
                <w:szCs w:val="22"/>
              </w:rPr>
              <w:t>WC Claims Currently Open</w:t>
            </w:r>
          </w:p>
        </w:tc>
        <w:tc>
          <w:tcPr>
            <w:tcW w:w="1135" w:type="dxa"/>
            <w:tcBorders>
              <w:left w:val="nil"/>
            </w:tcBorders>
            <w:shd w:val="clear" w:color="auto" w:fill="auto"/>
            <w:noWrap/>
            <w:hideMark/>
          </w:tcPr>
          <w:p w14:paraId="7E8D1A41" w14:textId="0C825D64" w:rsidR="00BE4832" w:rsidRPr="0035061A" w:rsidRDefault="007B4874" w:rsidP="00F970DA">
            <w:pPr>
              <w:jc w:val="center"/>
              <w:rPr>
                <w:rFonts w:asciiTheme="minorHAnsi" w:hAnsiTheme="minorHAnsi" w:cstheme="minorHAnsi"/>
                <w:sz w:val="22"/>
                <w:szCs w:val="22"/>
              </w:rPr>
            </w:pPr>
            <w:r w:rsidRPr="0035061A">
              <w:rPr>
                <w:rFonts w:asciiTheme="minorHAnsi" w:hAnsiTheme="minorHAnsi" w:cstheme="minorHAnsi"/>
                <w:sz w:val="22"/>
                <w:szCs w:val="22"/>
              </w:rPr>
              <w:t>4</w:t>
            </w:r>
          </w:p>
        </w:tc>
        <w:tc>
          <w:tcPr>
            <w:tcW w:w="1133" w:type="dxa"/>
            <w:shd w:val="clear" w:color="auto" w:fill="auto"/>
            <w:noWrap/>
            <w:hideMark/>
          </w:tcPr>
          <w:p w14:paraId="063526E7" w14:textId="05211E09" w:rsidR="00BE4832" w:rsidRPr="0035061A" w:rsidRDefault="007B4874" w:rsidP="00F970DA">
            <w:pPr>
              <w:jc w:val="center"/>
              <w:rPr>
                <w:rFonts w:asciiTheme="minorHAnsi" w:hAnsiTheme="minorHAnsi" w:cstheme="minorHAnsi"/>
                <w:sz w:val="22"/>
                <w:szCs w:val="22"/>
              </w:rPr>
            </w:pPr>
            <w:r w:rsidRPr="0035061A">
              <w:rPr>
                <w:rFonts w:asciiTheme="minorHAnsi" w:hAnsiTheme="minorHAnsi" w:cstheme="minorHAnsi"/>
                <w:sz w:val="22"/>
                <w:szCs w:val="22"/>
              </w:rPr>
              <w:t>1</w:t>
            </w:r>
          </w:p>
        </w:tc>
        <w:tc>
          <w:tcPr>
            <w:tcW w:w="1133" w:type="dxa"/>
            <w:shd w:val="clear" w:color="auto" w:fill="auto"/>
            <w:noWrap/>
            <w:hideMark/>
          </w:tcPr>
          <w:p w14:paraId="402225FD" w14:textId="62D8F66B" w:rsidR="00BE4832" w:rsidRPr="0035061A" w:rsidRDefault="007B4874" w:rsidP="00F970DA">
            <w:pPr>
              <w:jc w:val="center"/>
              <w:rPr>
                <w:rFonts w:asciiTheme="minorHAnsi" w:hAnsiTheme="minorHAnsi" w:cstheme="minorHAnsi"/>
                <w:sz w:val="22"/>
                <w:szCs w:val="22"/>
              </w:rPr>
            </w:pPr>
            <w:r w:rsidRPr="0035061A">
              <w:rPr>
                <w:rFonts w:asciiTheme="minorHAnsi" w:hAnsiTheme="minorHAnsi" w:cstheme="minorHAnsi"/>
                <w:sz w:val="22"/>
                <w:szCs w:val="22"/>
              </w:rPr>
              <w:t>0</w:t>
            </w:r>
          </w:p>
        </w:tc>
        <w:tc>
          <w:tcPr>
            <w:tcW w:w="1133" w:type="dxa"/>
            <w:shd w:val="clear" w:color="auto" w:fill="auto"/>
            <w:noWrap/>
            <w:hideMark/>
          </w:tcPr>
          <w:p w14:paraId="79182BFB" w14:textId="7236A717" w:rsidR="00BE4832" w:rsidRPr="0035061A" w:rsidRDefault="007B4874" w:rsidP="00F970DA">
            <w:pPr>
              <w:jc w:val="center"/>
              <w:rPr>
                <w:rFonts w:asciiTheme="minorHAnsi" w:hAnsiTheme="minorHAnsi" w:cstheme="minorHAnsi"/>
                <w:sz w:val="22"/>
                <w:szCs w:val="22"/>
              </w:rPr>
            </w:pPr>
            <w:r w:rsidRPr="0035061A">
              <w:rPr>
                <w:rFonts w:asciiTheme="minorHAnsi" w:hAnsiTheme="minorHAnsi" w:cstheme="minorHAnsi"/>
                <w:sz w:val="22"/>
                <w:szCs w:val="22"/>
              </w:rPr>
              <w:t>11</w:t>
            </w:r>
          </w:p>
        </w:tc>
        <w:tc>
          <w:tcPr>
            <w:tcW w:w="1133" w:type="dxa"/>
            <w:shd w:val="clear" w:color="auto" w:fill="auto"/>
            <w:noWrap/>
            <w:hideMark/>
          </w:tcPr>
          <w:p w14:paraId="2F5C2A8E" w14:textId="00B1A353" w:rsidR="00BE4832" w:rsidRPr="0035061A" w:rsidRDefault="007B4874" w:rsidP="00F970DA">
            <w:pPr>
              <w:jc w:val="center"/>
              <w:rPr>
                <w:rFonts w:asciiTheme="minorHAnsi" w:hAnsiTheme="minorHAnsi" w:cstheme="minorHAnsi"/>
                <w:sz w:val="22"/>
                <w:szCs w:val="22"/>
              </w:rPr>
            </w:pPr>
            <w:r w:rsidRPr="0035061A">
              <w:rPr>
                <w:rFonts w:asciiTheme="minorHAnsi" w:hAnsiTheme="minorHAnsi" w:cstheme="minorHAnsi"/>
                <w:sz w:val="22"/>
                <w:szCs w:val="22"/>
              </w:rPr>
              <w:t>0</w:t>
            </w:r>
          </w:p>
        </w:tc>
        <w:tc>
          <w:tcPr>
            <w:tcW w:w="1133" w:type="dxa"/>
            <w:shd w:val="clear" w:color="auto" w:fill="auto"/>
            <w:noWrap/>
            <w:hideMark/>
          </w:tcPr>
          <w:p w14:paraId="7DD9527D" w14:textId="79E45FB4" w:rsidR="00BE4832" w:rsidRPr="0035061A" w:rsidRDefault="007B4874" w:rsidP="00F970DA">
            <w:pPr>
              <w:jc w:val="center"/>
              <w:rPr>
                <w:rFonts w:asciiTheme="minorHAnsi" w:hAnsiTheme="minorHAnsi" w:cstheme="minorHAnsi"/>
                <w:sz w:val="22"/>
                <w:szCs w:val="22"/>
              </w:rPr>
            </w:pPr>
            <w:r w:rsidRPr="0035061A">
              <w:rPr>
                <w:rFonts w:asciiTheme="minorHAnsi" w:hAnsiTheme="minorHAnsi" w:cstheme="minorHAnsi"/>
                <w:sz w:val="22"/>
                <w:szCs w:val="22"/>
              </w:rPr>
              <w:t>1</w:t>
            </w:r>
          </w:p>
        </w:tc>
        <w:tc>
          <w:tcPr>
            <w:tcW w:w="1133" w:type="dxa"/>
            <w:shd w:val="clear" w:color="auto" w:fill="auto"/>
            <w:noWrap/>
            <w:hideMark/>
          </w:tcPr>
          <w:p w14:paraId="153E7B80" w14:textId="003D0AB1" w:rsidR="00BE4832" w:rsidRPr="0035061A" w:rsidRDefault="007B4874"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17</w:t>
            </w:r>
          </w:p>
        </w:tc>
      </w:tr>
      <w:tr w:rsidR="002E380E" w:rsidRPr="0035061A" w14:paraId="56D8CFCE" w14:textId="77777777" w:rsidTr="00F33A9E">
        <w:trPr>
          <w:trHeight w:val="567"/>
        </w:trPr>
        <w:tc>
          <w:tcPr>
            <w:tcW w:w="1985" w:type="dxa"/>
            <w:tcBorders>
              <w:top w:val="nil"/>
              <w:left w:val="nil"/>
              <w:bottom w:val="nil"/>
              <w:right w:val="nil"/>
            </w:tcBorders>
            <w:shd w:val="clear" w:color="FFFFFF" w:fill="7030A0"/>
            <w:vAlign w:val="center"/>
            <w:hideMark/>
          </w:tcPr>
          <w:p w14:paraId="469186E7" w14:textId="77777777" w:rsidR="00BE4832" w:rsidRPr="0035061A" w:rsidRDefault="00BE4832" w:rsidP="00F970DA">
            <w:pPr>
              <w:jc w:val="center"/>
              <w:rPr>
                <w:rFonts w:asciiTheme="minorHAnsi" w:hAnsiTheme="minorHAnsi" w:cstheme="minorHAnsi"/>
                <w:b/>
                <w:bCs/>
                <w:color w:val="FFFFFF"/>
                <w:sz w:val="22"/>
                <w:szCs w:val="22"/>
              </w:rPr>
            </w:pPr>
            <w:r w:rsidRPr="0035061A">
              <w:rPr>
                <w:rFonts w:asciiTheme="minorHAnsi" w:hAnsiTheme="minorHAnsi" w:cstheme="minorHAnsi"/>
                <w:b/>
                <w:bCs/>
                <w:color w:val="FFFFFF"/>
                <w:sz w:val="22"/>
                <w:szCs w:val="22"/>
              </w:rPr>
              <w:t>WC Claims Closed</w:t>
            </w:r>
          </w:p>
        </w:tc>
        <w:tc>
          <w:tcPr>
            <w:tcW w:w="1135" w:type="dxa"/>
            <w:tcBorders>
              <w:left w:val="nil"/>
            </w:tcBorders>
            <w:shd w:val="clear" w:color="auto" w:fill="auto"/>
            <w:noWrap/>
            <w:hideMark/>
          </w:tcPr>
          <w:p w14:paraId="57F1344B" w14:textId="7DE7D8BA" w:rsidR="00BE4832" w:rsidRPr="0035061A" w:rsidRDefault="007B4874" w:rsidP="00F970DA">
            <w:pPr>
              <w:jc w:val="center"/>
              <w:rPr>
                <w:rFonts w:asciiTheme="minorHAnsi" w:hAnsiTheme="minorHAnsi" w:cstheme="minorHAnsi"/>
                <w:sz w:val="22"/>
                <w:szCs w:val="22"/>
              </w:rPr>
            </w:pPr>
            <w:r w:rsidRPr="0035061A">
              <w:rPr>
                <w:rFonts w:asciiTheme="minorHAnsi" w:hAnsiTheme="minorHAnsi" w:cstheme="minorHAnsi"/>
                <w:sz w:val="22"/>
                <w:szCs w:val="22"/>
              </w:rPr>
              <w:t>1</w:t>
            </w:r>
          </w:p>
        </w:tc>
        <w:tc>
          <w:tcPr>
            <w:tcW w:w="1133" w:type="dxa"/>
            <w:shd w:val="clear" w:color="auto" w:fill="auto"/>
            <w:noWrap/>
            <w:hideMark/>
          </w:tcPr>
          <w:p w14:paraId="5B6FFC0F" w14:textId="36116A86" w:rsidR="00BE4832" w:rsidRPr="0035061A" w:rsidRDefault="007B4874" w:rsidP="00F970DA">
            <w:pPr>
              <w:jc w:val="center"/>
              <w:rPr>
                <w:rFonts w:asciiTheme="minorHAnsi" w:hAnsiTheme="minorHAnsi" w:cstheme="minorHAnsi"/>
                <w:sz w:val="22"/>
                <w:szCs w:val="22"/>
              </w:rPr>
            </w:pPr>
            <w:r w:rsidRPr="0035061A">
              <w:rPr>
                <w:rFonts w:asciiTheme="minorHAnsi" w:hAnsiTheme="minorHAnsi" w:cstheme="minorHAnsi"/>
                <w:sz w:val="22"/>
                <w:szCs w:val="22"/>
              </w:rPr>
              <w:t>0</w:t>
            </w:r>
          </w:p>
        </w:tc>
        <w:tc>
          <w:tcPr>
            <w:tcW w:w="1133" w:type="dxa"/>
            <w:shd w:val="clear" w:color="auto" w:fill="auto"/>
            <w:noWrap/>
            <w:hideMark/>
          </w:tcPr>
          <w:p w14:paraId="7225AAFB" w14:textId="3E50D060" w:rsidR="00BE4832" w:rsidRPr="0035061A" w:rsidRDefault="007B4874" w:rsidP="00F970DA">
            <w:pPr>
              <w:jc w:val="center"/>
              <w:rPr>
                <w:rFonts w:asciiTheme="minorHAnsi" w:hAnsiTheme="minorHAnsi" w:cstheme="minorHAnsi"/>
                <w:sz w:val="22"/>
                <w:szCs w:val="22"/>
              </w:rPr>
            </w:pPr>
            <w:r w:rsidRPr="0035061A">
              <w:rPr>
                <w:rFonts w:asciiTheme="minorHAnsi" w:hAnsiTheme="minorHAnsi" w:cstheme="minorHAnsi"/>
                <w:sz w:val="22"/>
                <w:szCs w:val="22"/>
              </w:rPr>
              <w:t>0</w:t>
            </w:r>
          </w:p>
        </w:tc>
        <w:tc>
          <w:tcPr>
            <w:tcW w:w="1133" w:type="dxa"/>
            <w:shd w:val="clear" w:color="auto" w:fill="auto"/>
            <w:noWrap/>
            <w:hideMark/>
          </w:tcPr>
          <w:p w14:paraId="2A1D4FBA" w14:textId="47C16597" w:rsidR="00BE4832" w:rsidRPr="0035061A" w:rsidRDefault="007B4874" w:rsidP="00F970DA">
            <w:pPr>
              <w:jc w:val="center"/>
              <w:rPr>
                <w:rFonts w:asciiTheme="minorHAnsi" w:hAnsiTheme="minorHAnsi" w:cstheme="minorHAnsi"/>
                <w:sz w:val="22"/>
                <w:szCs w:val="22"/>
              </w:rPr>
            </w:pPr>
            <w:r w:rsidRPr="0035061A">
              <w:rPr>
                <w:rFonts w:asciiTheme="minorHAnsi" w:hAnsiTheme="minorHAnsi" w:cstheme="minorHAnsi"/>
                <w:sz w:val="22"/>
                <w:szCs w:val="22"/>
              </w:rPr>
              <w:t>0</w:t>
            </w:r>
          </w:p>
        </w:tc>
        <w:tc>
          <w:tcPr>
            <w:tcW w:w="1133" w:type="dxa"/>
            <w:shd w:val="clear" w:color="auto" w:fill="auto"/>
            <w:noWrap/>
            <w:hideMark/>
          </w:tcPr>
          <w:p w14:paraId="418865D1" w14:textId="3409036A" w:rsidR="00BE4832" w:rsidRPr="0035061A" w:rsidRDefault="007B4874" w:rsidP="00F970DA">
            <w:pPr>
              <w:jc w:val="center"/>
              <w:rPr>
                <w:rFonts w:asciiTheme="minorHAnsi" w:hAnsiTheme="minorHAnsi" w:cstheme="minorHAnsi"/>
                <w:sz w:val="22"/>
                <w:szCs w:val="22"/>
              </w:rPr>
            </w:pPr>
            <w:r w:rsidRPr="0035061A">
              <w:rPr>
                <w:rFonts w:asciiTheme="minorHAnsi" w:hAnsiTheme="minorHAnsi" w:cstheme="minorHAnsi"/>
                <w:sz w:val="22"/>
                <w:szCs w:val="22"/>
              </w:rPr>
              <w:t>0</w:t>
            </w:r>
          </w:p>
        </w:tc>
        <w:tc>
          <w:tcPr>
            <w:tcW w:w="1133" w:type="dxa"/>
            <w:shd w:val="clear" w:color="auto" w:fill="auto"/>
            <w:noWrap/>
            <w:hideMark/>
          </w:tcPr>
          <w:p w14:paraId="28B6D533" w14:textId="77F36C8B" w:rsidR="00BE4832" w:rsidRPr="0035061A" w:rsidRDefault="007B4874" w:rsidP="00F970DA">
            <w:pPr>
              <w:jc w:val="center"/>
              <w:rPr>
                <w:rFonts w:asciiTheme="minorHAnsi" w:hAnsiTheme="minorHAnsi" w:cstheme="minorHAnsi"/>
                <w:sz w:val="22"/>
                <w:szCs w:val="22"/>
              </w:rPr>
            </w:pPr>
            <w:r w:rsidRPr="0035061A">
              <w:rPr>
                <w:rFonts w:asciiTheme="minorHAnsi" w:hAnsiTheme="minorHAnsi" w:cstheme="minorHAnsi"/>
                <w:sz w:val="22"/>
                <w:szCs w:val="22"/>
              </w:rPr>
              <w:t>0</w:t>
            </w:r>
          </w:p>
        </w:tc>
        <w:tc>
          <w:tcPr>
            <w:tcW w:w="1133" w:type="dxa"/>
            <w:shd w:val="clear" w:color="auto" w:fill="auto"/>
            <w:noWrap/>
            <w:hideMark/>
          </w:tcPr>
          <w:p w14:paraId="091DC9F1" w14:textId="7477D830" w:rsidR="00BE4832" w:rsidRPr="0035061A" w:rsidRDefault="007B4874"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1</w:t>
            </w:r>
          </w:p>
        </w:tc>
      </w:tr>
      <w:tr w:rsidR="002E380E" w:rsidRPr="0035061A" w14:paraId="7B5CB2A2" w14:textId="77777777" w:rsidTr="00F33A9E">
        <w:trPr>
          <w:trHeight w:val="567"/>
        </w:trPr>
        <w:tc>
          <w:tcPr>
            <w:tcW w:w="1985" w:type="dxa"/>
            <w:tcBorders>
              <w:top w:val="nil"/>
              <w:left w:val="nil"/>
              <w:bottom w:val="nil"/>
              <w:right w:val="nil"/>
            </w:tcBorders>
            <w:shd w:val="clear" w:color="FFFFFF" w:fill="7030A0"/>
            <w:vAlign w:val="center"/>
            <w:hideMark/>
          </w:tcPr>
          <w:p w14:paraId="56A906F3" w14:textId="77777777" w:rsidR="00BE4832" w:rsidRPr="0035061A" w:rsidRDefault="00BE4832" w:rsidP="00F970DA">
            <w:pPr>
              <w:jc w:val="center"/>
              <w:rPr>
                <w:rFonts w:asciiTheme="minorHAnsi" w:hAnsiTheme="minorHAnsi" w:cstheme="minorHAnsi"/>
                <w:b/>
                <w:bCs/>
                <w:color w:val="FFFFFF"/>
                <w:sz w:val="22"/>
                <w:szCs w:val="22"/>
              </w:rPr>
            </w:pPr>
            <w:r w:rsidRPr="0035061A">
              <w:rPr>
                <w:rFonts w:asciiTheme="minorHAnsi" w:hAnsiTheme="minorHAnsi" w:cstheme="minorHAnsi"/>
                <w:b/>
                <w:bCs/>
                <w:color w:val="FFFFFF"/>
                <w:sz w:val="22"/>
                <w:szCs w:val="22"/>
              </w:rPr>
              <w:t>Total Days Lost</w:t>
            </w:r>
          </w:p>
        </w:tc>
        <w:tc>
          <w:tcPr>
            <w:tcW w:w="1135" w:type="dxa"/>
            <w:tcBorders>
              <w:left w:val="nil"/>
            </w:tcBorders>
            <w:shd w:val="clear" w:color="auto" w:fill="auto"/>
            <w:noWrap/>
            <w:hideMark/>
          </w:tcPr>
          <w:p w14:paraId="2D7C6E72" w14:textId="0AAB3AE8" w:rsidR="00BE4832" w:rsidRPr="0035061A" w:rsidRDefault="007B4874" w:rsidP="00F970DA">
            <w:pPr>
              <w:jc w:val="center"/>
              <w:rPr>
                <w:rFonts w:asciiTheme="minorHAnsi" w:hAnsiTheme="minorHAnsi" w:cstheme="minorHAnsi"/>
                <w:sz w:val="22"/>
                <w:szCs w:val="22"/>
              </w:rPr>
            </w:pPr>
            <w:r w:rsidRPr="0035061A">
              <w:rPr>
                <w:rFonts w:asciiTheme="minorHAnsi" w:hAnsiTheme="minorHAnsi" w:cstheme="minorHAnsi"/>
                <w:sz w:val="22"/>
                <w:szCs w:val="22"/>
              </w:rPr>
              <w:t>0</w:t>
            </w:r>
          </w:p>
        </w:tc>
        <w:tc>
          <w:tcPr>
            <w:tcW w:w="1133" w:type="dxa"/>
            <w:shd w:val="clear" w:color="auto" w:fill="auto"/>
            <w:noWrap/>
            <w:hideMark/>
          </w:tcPr>
          <w:p w14:paraId="19A5E0E9" w14:textId="1937936D" w:rsidR="00BE4832" w:rsidRPr="0035061A" w:rsidRDefault="007B4874" w:rsidP="00F970DA">
            <w:pPr>
              <w:jc w:val="center"/>
              <w:rPr>
                <w:rFonts w:asciiTheme="minorHAnsi" w:hAnsiTheme="minorHAnsi" w:cstheme="minorHAnsi"/>
                <w:sz w:val="22"/>
                <w:szCs w:val="22"/>
              </w:rPr>
            </w:pPr>
            <w:r w:rsidRPr="0035061A">
              <w:rPr>
                <w:rFonts w:asciiTheme="minorHAnsi" w:hAnsiTheme="minorHAnsi" w:cstheme="minorHAnsi"/>
                <w:sz w:val="22"/>
                <w:szCs w:val="22"/>
              </w:rPr>
              <w:t>0</w:t>
            </w:r>
          </w:p>
        </w:tc>
        <w:tc>
          <w:tcPr>
            <w:tcW w:w="1133" w:type="dxa"/>
            <w:shd w:val="clear" w:color="auto" w:fill="auto"/>
            <w:noWrap/>
            <w:hideMark/>
          </w:tcPr>
          <w:p w14:paraId="0BB207CA" w14:textId="77777777" w:rsidR="00BE4832" w:rsidRPr="0035061A" w:rsidRDefault="00BE4832" w:rsidP="00F970DA">
            <w:pPr>
              <w:jc w:val="center"/>
              <w:rPr>
                <w:rFonts w:asciiTheme="minorHAnsi" w:hAnsiTheme="minorHAnsi" w:cstheme="minorHAnsi"/>
                <w:sz w:val="22"/>
                <w:szCs w:val="22"/>
              </w:rPr>
            </w:pPr>
            <w:r w:rsidRPr="0035061A">
              <w:rPr>
                <w:rFonts w:asciiTheme="minorHAnsi" w:hAnsiTheme="minorHAnsi" w:cstheme="minorHAnsi"/>
                <w:sz w:val="22"/>
                <w:szCs w:val="22"/>
              </w:rPr>
              <w:t>0</w:t>
            </w:r>
          </w:p>
        </w:tc>
        <w:tc>
          <w:tcPr>
            <w:tcW w:w="1133" w:type="dxa"/>
            <w:shd w:val="clear" w:color="auto" w:fill="auto"/>
            <w:noWrap/>
            <w:hideMark/>
          </w:tcPr>
          <w:p w14:paraId="47E18C40" w14:textId="2CD4A407" w:rsidR="00BE4832" w:rsidRPr="0035061A" w:rsidRDefault="007B4874" w:rsidP="00F970DA">
            <w:pPr>
              <w:jc w:val="center"/>
              <w:rPr>
                <w:rFonts w:asciiTheme="minorHAnsi" w:hAnsiTheme="minorHAnsi" w:cstheme="minorHAnsi"/>
                <w:sz w:val="22"/>
                <w:szCs w:val="22"/>
              </w:rPr>
            </w:pPr>
            <w:r w:rsidRPr="0035061A">
              <w:rPr>
                <w:rFonts w:asciiTheme="minorHAnsi" w:hAnsiTheme="minorHAnsi" w:cstheme="minorHAnsi"/>
                <w:sz w:val="22"/>
                <w:szCs w:val="22"/>
              </w:rPr>
              <w:t>197</w:t>
            </w:r>
          </w:p>
        </w:tc>
        <w:tc>
          <w:tcPr>
            <w:tcW w:w="1133" w:type="dxa"/>
            <w:shd w:val="clear" w:color="auto" w:fill="auto"/>
            <w:noWrap/>
            <w:hideMark/>
          </w:tcPr>
          <w:p w14:paraId="32CE521C" w14:textId="77777777" w:rsidR="00BE4832" w:rsidRPr="0035061A" w:rsidRDefault="00BE4832" w:rsidP="00F970DA">
            <w:pPr>
              <w:jc w:val="center"/>
              <w:rPr>
                <w:rFonts w:asciiTheme="minorHAnsi" w:hAnsiTheme="minorHAnsi" w:cstheme="minorHAnsi"/>
                <w:sz w:val="22"/>
                <w:szCs w:val="22"/>
              </w:rPr>
            </w:pPr>
            <w:r w:rsidRPr="0035061A">
              <w:rPr>
                <w:rFonts w:asciiTheme="minorHAnsi" w:hAnsiTheme="minorHAnsi" w:cstheme="minorHAnsi"/>
                <w:sz w:val="22"/>
                <w:szCs w:val="22"/>
              </w:rPr>
              <w:t>0</w:t>
            </w:r>
          </w:p>
        </w:tc>
        <w:tc>
          <w:tcPr>
            <w:tcW w:w="1133" w:type="dxa"/>
            <w:shd w:val="clear" w:color="auto" w:fill="auto"/>
            <w:noWrap/>
            <w:hideMark/>
          </w:tcPr>
          <w:p w14:paraId="3030D45D" w14:textId="48B2D367" w:rsidR="00BE4832" w:rsidRPr="0035061A" w:rsidRDefault="007B4874" w:rsidP="00F970DA">
            <w:pPr>
              <w:jc w:val="center"/>
              <w:rPr>
                <w:rFonts w:asciiTheme="minorHAnsi" w:hAnsiTheme="minorHAnsi" w:cstheme="minorHAnsi"/>
                <w:sz w:val="22"/>
                <w:szCs w:val="22"/>
              </w:rPr>
            </w:pPr>
            <w:r w:rsidRPr="0035061A">
              <w:rPr>
                <w:rFonts w:asciiTheme="minorHAnsi" w:hAnsiTheme="minorHAnsi" w:cstheme="minorHAnsi"/>
                <w:sz w:val="22"/>
                <w:szCs w:val="22"/>
              </w:rPr>
              <w:t>66</w:t>
            </w:r>
          </w:p>
        </w:tc>
        <w:tc>
          <w:tcPr>
            <w:tcW w:w="1133" w:type="dxa"/>
            <w:shd w:val="clear" w:color="auto" w:fill="auto"/>
            <w:noWrap/>
            <w:hideMark/>
          </w:tcPr>
          <w:p w14:paraId="5C4FC59B" w14:textId="75185A70" w:rsidR="00BE4832" w:rsidRPr="0035061A" w:rsidRDefault="007B4874" w:rsidP="00F970DA">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263</w:t>
            </w:r>
          </w:p>
        </w:tc>
      </w:tr>
      <w:tr w:rsidR="00736088" w:rsidRPr="0035061A" w14:paraId="4868A26B" w14:textId="77777777" w:rsidTr="002B4D89">
        <w:trPr>
          <w:trHeight w:val="567"/>
        </w:trPr>
        <w:tc>
          <w:tcPr>
            <w:tcW w:w="1985" w:type="dxa"/>
            <w:tcBorders>
              <w:top w:val="nil"/>
              <w:left w:val="nil"/>
              <w:bottom w:val="nil"/>
              <w:right w:val="nil"/>
            </w:tcBorders>
            <w:shd w:val="clear" w:color="FFFFFF" w:fill="7030A0"/>
            <w:vAlign w:val="center"/>
            <w:hideMark/>
          </w:tcPr>
          <w:p w14:paraId="5E3760D7" w14:textId="42E7888E" w:rsidR="00736088" w:rsidRPr="0035061A" w:rsidRDefault="00736088" w:rsidP="00736088">
            <w:pPr>
              <w:jc w:val="center"/>
              <w:rPr>
                <w:rFonts w:asciiTheme="minorHAnsi" w:hAnsiTheme="minorHAnsi" w:cstheme="minorHAnsi"/>
                <w:b/>
                <w:bCs/>
                <w:color w:val="FFFFFF"/>
                <w:sz w:val="22"/>
                <w:szCs w:val="22"/>
              </w:rPr>
            </w:pPr>
            <w:r w:rsidRPr="0035061A">
              <w:rPr>
                <w:rFonts w:asciiTheme="minorHAnsi" w:hAnsiTheme="minorHAnsi" w:cstheme="minorHAnsi"/>
                <w:b/>
                <w:bCs/>
                <w:color w:val="FFFFFF"/>
                <w:sz w:val="22"/>
                <w:szCs w:val="22"/>
              </w:rPr>
              <w:t>EAP Counselling Sessions Q</w:t>
            </w:r>
            <w:r w:rsidR="007B4874" w:rsidRPr="0035061A">
              <w:rPr>
                <w:rFonts w:asciiTheme="minorHAnsi" w:hAnsiTheme="minorHAnsi" w:cstheme="minorHAnsi"/>
                <w:b/>
                <w:bCs/>
                <w:color w:val="FFFFFF"/>
                <w:sz w:val="22"/>
                <w:szCs w:val="22"/>
              </w:rPr>
              <w:t>3</w:t>
            </w:r>
            <w:r w:rsidRPr="0035061A">
              <w:rPr>
                <w:rFonts w:asciiTheme="minorHAnsi" w:hAnsiTheme="minorHAnsi" w:cstheme="minorHAnsi"/>
                <w:b/>
                <w:bCs/>
                <w:color w:val="FFFFFF"/>
                <w:sz w:val="22"/>
                <w:szCs w:val="22"/>
              </w:rPr>
              <w:t xml:space="preserve"> </w:t>
            </w:r>
            <w:r w:rsidRPr="0035061A">
              <w:rPr>
                <w:rFonts w:asciiTheme="minorHAnsi" w:hAnsiTheme="minorHAnsi" w:cstheme="minorHAnsi"/>
                <w:b/>
                <w:bCs/>
                <w:color w:val="FFFFFF"/>
                <w:sz w:val="22"/>
                <w:szCs w:val="22"/>
              </w:rPr>
              <w:br/>
            </w:r>
          </w:p>
        </w:tc>
        <w:tc>
          <w:tcPr>
            <w:tcW w:w="1135" w:type="dxa"/>
            <w:tcBorders>
              <w:left w:val="nil"/>
            </w:tcBorders>
            <w:shd w:val="clear" w:color="auto" w:fill="auto"/>
            <w:noWrap/>
            <w:hideMark/>
          </w:tcPr>
          <w:p w14:paraId="0D8B025B" w14:textId="4A85CB98" w:rsidR="00736088" w:rsidRPr="0035061A" w:rsidRDefault="00736088" w:rsidP="0073608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N/A</w:t>
            </w:r>
          </w:p>
        </w:tc>
        <w:tc>
          <w:tcPr>
            <w:tcW w:w="1133" w:type="dxa"/>
            <w:shd w:val="clear" w:color="auto" w:fill="auto"/>
            <w:noWrap/>
            <w:hideMark/>
          </w:tcPr>
          <w:p w14:paraId="28E62644" w14:textId="09E06143" w:rsidR="00736088" w:rsidRPr="0035061A" w:rsidRDefault="00736088" w:rsidP="0073608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N/A</w:t>
            </w:r>
          </w:p>
        </w:tc>
        <w:tc>
          <w:tcPr>
            <w:tcW w:w="1133" w:type="dxa"/>
            <w:shd w:val="clear" w:color="auto" w:fill="auto"/>
            <w:noWrap/>
            <w:hideMark/>
          </w:tcPr>
          <w:p w14:paraId="2056C3F0" w14:textId="7FFFEF0C" w:rsidR="00736088" w:rsidRPr="0035061A" w:rsidRDefault="00736088" w:rsidP="0073608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N/A</w:t>
            </w:r>
          </w:p>
        </w:tc>
        <w:tc>
          <w:tcPr>
            <w:tcW w:w="1133" w:type="dxa"/>
            <w:shd w:val="clear" w:color="auto" w:fill="auto"/>
            <w:noWrap/>
            <w:hideMark/>
          </w:tcPr>
          <w:p w14:paraId="3BA7A1BC" w14:textId="1882A9E8" w:rsidR="00736088" w:rsidRPr="0035061A" w:rsidRDefault="00736088" w:rsidP="0073608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N/A</w:t>
            </w:r>
          </w:p>
        </w:tc>
        <w:tc>
          <w:tcPr>
            <w:tcW w:w="1133" w:type="dxa"/>
            <w:shd w:val="clear" w:color="auto" w:fill="auto"/>
            <w:noWrap/>
            <w:hideMark/>
          </w:tcPr>
          <w:p w14:paraId="28F47114" w14:textId="67BCD736" w:rsidR="00736088" w:rsidRPr="0035061A" w:rsidRDefault="00736088" w:rsidP="0073608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N/A</w:t>
            </w:r>
          </w:p>
        </w:tc>
        <w:tc>
          <w:tcPr>
            <w:tcW w:w="1133" w:type="dxa"/>
            <w:shd w:val="clear" w:color="auto" w:fill="auto"/>
            <w:noWrap/>
            <w:hideMark/>
          </w:tcPr>
          <w:p w14:paraId="44A2E68E" w14:textId="529919B8" w:rsidR="00736088" w:rsidRPr="0035061A" w:rsidRDefault="00736088" w:rsidP="0073608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N/A</w:t>
            </w:r>
          </w:p>
        </w:tc>
        <w:tc>
          <w:tcPr>
            <w:tcW w:w="1133" w:type="dxa"/>
            <w:shd w:val="clear" w:color="auto" w:fill="auto"/>
            <w:hideMark/>
          </w:tcPr>
          <w:p w14:paraId="6D79E974" w14:textId="77777777" w:rsidR="00736088" w:rsidRPr="0035061A" w:rsidRDefault="007B4874" w:rsidP="0073608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123</w:t>
            </w:r>
            <w:r w:rsidR="0035061A" w:rsidRPr="0035061A">
              <w:rPr>
                <w:rFonts w:asciiTheme="minorHAnsi" w:hAnsiTheme="minorHAnsi" w:cstheme="minorHAnsi"/>
                <w:color w:val="000000"/>
                <w:sz w:val="22"/>
                <w:szCs w:val="22"/>
              </w:rPr>
              <w:t>Q3</w:t>
            </w:r>
          </w:p>
          <w:p w14:paraId="3873AAB5" w14:textId="3DEB2EF9" w:rsidR="0035061A" w:rsidRPr="0035061A" w:rsidRDefault="0035061A" w:rsidP="00736088">
            <w:pPr>
              <w:jc w:val="center"/>
              <w:rPr>
                <w:rFonts w:asciiTheme="minorHAnsi" w:hAnsiTheme="minorHAnsi" w:cstheme="minorHAnsi"/>
                <w:color w:val="000000"/>
                <w:sz w:val="22"/>
                <w:szCs w:val="22"/>
              </w:rPr>
            </w:pPr>
            <w:r w:rsidRPr="0035061A">
              <w:rPr>
                <w:rFonts w:asciiTheme="minorHAnsi" w:hAnsiTheme="minorHAnsi" w:cstheme="minorHAnsi"/>
                <w:color w:val="000000"/>
                <w:sz w:val="22"/>
                <w:szCs w:val="22"/>
              </w:rPr>
              <w:t>125Q2</w:t>
            </w:r>
          </w:p>
        </w:tc>
      </w:tr>
      <w:tr w:rsidR="00FD4EB6" w:rsidRPr="005A19FC" w14:paraId="3E4B8F00" w14:textId="77777777" w:rsidTr="00F62FBB">
        <w:trPr>
          <w:trHeight w:val="567"/>
        </w:trPr>
        <w:tc>
          <w:tcPr>
            <w:tcW w:w="1985" w:type="dxa"/>
            <w:tcBorders>
              <w:top w:val="nil"/>
              <w:left w:val="nil"/>
              <w:bottom w:val="nil"/>
              <w:right w:val="nil"/>
            </w:tcBorders>
            <w:shd w:val="clear" w:color="FFFFFF" w:fill="7030A0"/>
            <w:vAlign w:val="center"/>
            <w:hideMark/>
          </w:tcPr>
          <w:p w14:paraId="1B1D77B3" w14:textId="77777777" w:rsidR="00FD4EB6" w:rsidRDefault="00FD4EB6" w:rsidP="00F62FBB">
            <w:pPr>
              <w:jc w:val="center"/>
              <w:rPr>
                <w:b/>
                <w:bCs/>
                <w:color w:val="FFFFFF"/>
                <w:sz w:val="18"/>
                <w:szCs w:val="18"/>
              </w:rPr>
            </w:pPr>
            <w:r w:rsidRPr="008E393E">
              <w:rPr>
                <w:b/>
                <w:bCs/>
                <w:color w:val="FFFFFF"/>
                <w:sz w:val="18"/>
                <w:szCs w:val="18"/>
              </w:rPr>
              <w:t xml:space="preserve">WHS Mandatory Training Completion </w:t>
            </w:r>
            <w:r>
              <w:rPr>
                <w:b/>
                <w:bCs/>
                <w:color w:val="FFFFFF"/>
                <w:sz w:val="18"/>
                <w:szCs w:val="18"/>
              </w:rPr>
              <w:t>(New staff (2023) / All staff)</w:t>
            </w:r>
            <w:r w:rsidRPr="008E393E">
              <w:rPr>
                <w:b/>
                <w:bCs/>
                <w:color w:val="FFFFFF"/>
                <w:sz w:val="18"/>
                <w:szCs w:val="18"/>
              </w:rPr>
              <w:t xml:space="preserve"> </w:t>
            </w:r>
          </w:p>
          <w:p w14:paraId="5485BFDB" w14:textId="77777777" w:rsidR="00FD4EB6" w:rsidRPr="008E393E" w:rsidRDefault="00FD4EB6" w:rsidP="00F62FBB">
            <w:pPr>
              <w:jc w:val="center"/>
              <w:rPr>
                <w:b/>
                <w:bCs/>
                <w:color w:val="FFFFFF"/>
                <w:sz w:val="18"/>
                <w:szCs w:val="18"/>
              </w:rPr>
            </w:pPr>
          </w:p>
        </w:tc>
        <w:tc>
          <w:tcPr>
            <w:tcW w:w="1135" w:type="dxa"/>
            <w:tcBorders>
              <w:left w:val="nil"/>
            </w:tcBorders>
            <w:shd w:val="clear" w:color="auto" w:fill="auto"/>
            <w:noWrap/>
            <w:hideMark/>
          </w:tcPr>
          <w:p w14:paraId="2A1E0662" w14:textId="77777777" w:rsidR="00FD4EB6" w:rsidRPr="008E393E" w:rsidRDefault="00FD4EB6" w:rsidP="00F62FBB">
            <w:pPr>
              <w:jc w:val="center"/>
              <w:rPr>
                <w:color w:val="000000"/>
                <w:sz w:val="18"/>
                <w:szCs w:val="18"/>
              </w:rPr>
            </w:pPr>
            <w:r>
              <w:rPr>
                <w:color w:val="000000"/>
                <w:sz w:val="18"/>
                <w:szCs w:val="18"/>
              </w:rPr>
              <w:t>N/A</w:t>
            </w:r>
          </w:p>
        </w:tc>
        <w:tc>
          <w:tcPr>
            <w:tcW w:w="1133" w:type="dxa"/>
            <w:shd w:val="clear" w:color="auto" w:fill="auto"/>
            <w:noWrap/>
            <w:hideMark/>
          </w:tcPr>
          <w:p w14:paraId="5CE79E90" w14:textId="77777777" w:rsidR="00FD4EB6" w:rsidRPr="008E393E" w:rsidRDefault="00FD4EB6" w:rsidP="00F62FBB">
            <w:pPr>
              <w:jc w:val="center"/>
              <w:rPr>
                <w:color w:val="000000"/>
                <w:sz w:val="18"/>
                <w:szCs w:val="18"/>
              </w:rPr>
            </w:pPr>
            <w:r>
              <w:rPr>
                <w:color w:val="000000"/>
                <w:sz w:val="18"/>
                <w:szCs w:val="18"/>
              </w:rPr>
              <w:t>N/A</w:t>
            </w:r>
          </w:p>
        </w:tc>
        <w:tc>
          <w:tcPr>
            <w:tcW w:w="1133" w:type="dxa"/>
            <w:shd w:val="clear" w:color="auto" w:fill="auto"/>
            <w:noWrap/>
            <w:hideMark/>
          </w:tcPr>
          <w:p w14:paraId="3CBAE6A9" w14:textId="77777777" w:rsidR="00FD4EB6" w:rsidRPr="008E393E" w:rsidRDefault="00FD4EB6" w:rsidP="00F62FBB">
            <w:pPr>
              <w:jc w:val="center"/>
              <w:rPr>
                <w:color w:val="000000"/>
                <w:sz w:val="18"/>
                <w:szCs w:val="18"/>
              </w:rPr>
            </w:pPr>
            <w:r>
              <w:rPr>
                <w:color w:val="000000"/>
                <w:sz w:val="18"/>
                <w:szCs w:val="18"/>
              </w:rPr>
              <w:t>N/A</w:t>
            </w:r>
          </w:p>
        </w:tc>
        <w:tc>
          <w:tcPr>
            <w:tcW w:w="1133" w:type="dxa"/>
            <w:shd w:val="clear" w:color="auto" w:fill="auto"/>
            <w:noWrap/>
            <w:hideMark/>
          </w:tcPr>
          <w:p w14:paraId="692FADE5" w14:textId="77777777" w:rsidR="00FD4EB6" w:rsidRPr="008E393E" w:rsidRDefault="00FD4EB6" w:rsidP="00F62FBB">
            <w:pPr>
              <w:jc w:val="center"/>
              <w:rPr>
                <w:color w:val="000000"/>
                <w:sz w:val="18"/>
                <w:szCs w:val="18"/>
              </w:rPr>
            </w:pPr>
            <w:r>
              <w:rPr>
                <w:color w:val="000000"/>
                <w:sz w:val="18"/>
                <w:szCs w:val="18"/>
              </w:rPr>
              <w:t>N/A</w:t>
            </w:r>
          </w:p>
        </w:tc>
        <w:tc>
          <w:tcPr>
            <w:tcW w:w="1133" w:type="dxa"/>
            <w:shd w:val="clear" w:color="auto" w:fill="auto"/>
            <w:noWrap/>
            <w:hideMark/>
          </w:tcPr>
          <w:p w14:paraId="652F157D" w14:textId="77777777" w:rsidR="00FD4EB6" w:rsidRPr="008E393E" w:rsidRDefault="00FD4EB6" w:rsidP="00F62FBB">
            <w:pPr>
              <w:jc w:val="center"/>
              <w:rPr>
                <w:color w:val="000000"/>
                <w:sz w:val="18"/>
                <w:szCs w:val="18"/>
              </w:rPr>
            </w:pPr>
            <w:r>
              <w:rPr>
                <w:color w:val="000000"/>
                <w:sz w:val="18"/>
                <w:szCs w:val="18"/>
              </w:rPr>
              <w:t>N/A</w:t>
            </w:r>
          </w:p>
        </w:tc>
        <w:tc>
          <w:tcPr>
            <w:tcW w:w="1133" w:type="dxa"/>
            <w:shd w:val="clear" w:color="auto" w:fill="auto"/>
            <w:noWrap/>
            <w:hideMark/>
          </w:tcPr>
          <w:p w14:paraId="5A583A72" w14:textId="77777777" w:rsidR="00FD4EB6" w:rsidRPr="008E393E" w:rsidRDefault="00FD4EB6" w:rsidP="00F62FBB">
            <w:pPr>
              <w:jc w:val="center"/>
              <w:rPr>
                <w:color w:val="000000"/>
                <w:sz w:val="18"/>
                <w:szCs w:val="18"/>
              </w:rPr>
            </w:pPr>
            <w:r>
              <w:rPr>
                <w:color w:val="000000"/>
                <w:sz w:val="18"/>
                <w:szCs w:val="18"/>
              </w:rPr>
              <w:t>N/A</w:t>
            </w:r>
          </w:p>
        </w:tc>
        <w:tc>
          <w:tcPr>
            <w:tcW w:w="1133" w:type="dxa"/>
            <w:shd w:val="clear" w:color="auto" w:fill="auto"/>
            <w:noWrap/>
            <w:hideMark/>
          </w:tcPr>
          <w:p w14:paraId="05C6FFAF" w14:textId="7BE1D0EB" w:rsidR="00FD4EB6" w:rsidRPr="00FD4EB6" w:rsidRDefault="00FD4EB6" w:rsidP="00F62FBB">
            <w:pPr>
              <w:jc w:val="center"/>
              <w:rPr>
                <w:color w:val="000000"/>
                <w:sz w:val="18"/>
                <w:szCs w:val="18"/>
                <w:highlight w:val="yellow"/>
              </w:rPr>
            </w:pPr>
            <w:r w:rsidRPr="00FD4EB6">
              <w:rPr>
                <w:color w:val="000000"/>
                <w:sz w:val="18"/>
                <w:szCs w:val="18"/>
                <w:highlight w:val="yellow"/>
              </w:rPr>
              <w:t>TBA</w:t>
            </w:r>
          </w:p>
        </w:tc>
      </w:tr>
    </w:tbl>
    <w:p w14:paraId="43B0A7F0" w14:textId="77777777" w:rsidR="00BE4832" w:rsidRDefault="00BE4832" w:rsidP="00BE4832">
      <w:pPr>
        <w:pStyle w:val="BodyText"/>
        <w:kinsoku w:val="0"/>
        <w:overflowPunct w:val="0"/>
      </w:pPr>
    </w:p>
    <w:p w14:paraId="56858D0D" w14:textId="77777777" w:rsidR="007B6578" w:rsidRDefault="007B6578" w:rsidP="00BE4832">
      <w:pPr>
        <w:pStyle w:val="BodyText"/>
        <w:kinsoku w:val="0"/>
        <w:overflowPunct w:val="0"/>
      </w:pPr>
    </w:p>
    <w:p w14:paraId="60E9A701" w14:textId="53A415EA" w:rsidR="00633AD9" w:rsidRDefault="00633AD9">
      <w:pPr>
        <w:widowControl/>
        <w:autoSpaceDE/>
        <w:autoSpaceDN/>
        <w:adjustRightInd/>
        <w:rPr>
          <w:sz w:val="20"/>
          <w:szCs w:val="20"/>
        </w:rPr>
      </w:pPr>
      <w:r>
        <w:br w:type="page"/>
      </w:r>
    </w:p>
    <w:p w14:paraId="322FB016" w14:textId="1BF13A36" w:rsidR="007B6578" w:rsidRPr="00676B73" w:rsidRDefault="007B6578" w:rsidP="007B6578">
      <w:pPr>
        <w:pStyle w:val="BodyText"/>
        <w:kinsoku w:val="0"/>
        <w:overflowPunct w:val="0"/>
        <w:rPr>
          <w:b/>
          <w:bCs/>
        </w:rPr>
      </w:pPr>
      <w:r>
        <w:rPr>
          <w:b/>
          <w:bCs/>
        </w:rPr>
        <w:lastRenderedPageBreak/>
        <w:t>2.3 Lost Time Performance</w:t>
      </w:r>
      <w:r w:rsidRPr="00676B73">
        <w:rPr>
          <w:b/>
          <w:bCs/>
        </w:rPr>
        <w:t xml:space="preserve"> </w:t>
      </w:r>
    </w:p>
    <w:p w14:paraId="6488ED51" w14:textId="77777777" w:rsidR="00BE4832" w:rsidRDefault="00BE4832" w:rsidP="00BE4832">
      <w:pPr>
        <w:pStyle w:val="BodyText"/>
        <w:kinsoku w:val="0"/>
        <w:overflowPunct w:val="0"/>
      </w:pPr>
    </w:p>
    <w:p w14:paraId="64195C22" w14:textId="77777777" w:rsidR="00047F11" w:rsidRDefault="00047F11" w:rsidP="00047F11">
      <w:pPr>
        <w:pStyle w:val="BodyText"/>
        <w:kinsoku w:val="0"/>
        <w:overflowPunct w:val="0"/>
      </w:pPr>
      <w:r>
        <w:t>Figures 1 and 2 show rolling 12-month Lost Time Injury Frequency Rates (LTIFR) and Total Recordable Injury Frequency Rates (TRIFR) respectively for ACU overall, as well as each Portfolio.  Note that:</w:t>
      </w:r>
    </w:p>
    <w:p w14:paraId="3BF07B6A" w14:textId="77777777" w:rsidR="00047F11" w:rsidRDefault="00047F11" w:rsidP="00047F11">
      <w:pPr>
        <w:pStyle w:val="BodyText"/>
        <w:kinsoku w:val="0"/>
        <w:overflowPunct w:val="0"/>
      </w:pPr>
    </w:p>
    <w:p w14:paraId="13BB5D0A" w14:textId="77777777" w:rsidR="00047F11" w:rsidRDefault="00047F11" w:rsidP="00047F11">
      <w:pPr>
        <w:pStyle w:val="BodyText"/>
        <w:numPr>
          <w:ilvl w:val="0"/>
          <w:numId w:val="36"/>
        </w:numPr>
        <w:kinsoku w:val="0"/>
        <w:overflowPunct w:val="0"/>
      </w:pPr>
      <w:r>
        <w:t>LTIFR is calculated by dividing the n</w:t>
      </w:r>
      <w:r w:rsidRPr="00AD10E1">
        <w:t>umber of lost time injuries</w:t>
      </w:r>
      <w:r>
        <w:t xml:space="preserve"> (where an employee sustains an injury or illness and they are unable to work their next scheduled shift) divided by the </w:t>
      </w:r>
      <w:r w:rsidRPr="00AD10E1">
        <w:t xml:space="preserve">total number of hours worked in the </w:t>
      </w:r>
      <w:r>
        <w:t>period, multiplied by a million.</w:t>
      </w:r>
    </w:p>
    <w:p w14:paraId="15ECFFB5" w14:textId="77777777" w:rsidR="00047F11" w:rsidRDefault="00047F11" w:rsidP="00047F11">
      <w:pPr>
        <w:pStyle w:val="BodyText"/>
        <w:numPr>
          <w:ilvl w:val="0"/>
          <w:numId w:val="36"/>
        </w:numPr>
        <w:kinsoku w:val="0"/>
        <w:overflowPunct w:val="0"/>
      </w:pPr>
      <w:r>
        <w:t>TRIFR is likewise calculated by dividing the n</w:t>
      </w:r>
      <w:r w:rsidRPr="00AD10E1">
        <w:t>umber of lost time injuries</w:t>
      </w:r>
      <w:r>
        <w:t xml:space="preserve"> AND medical treatment injuries (</w:t>
      </w:r>
      <w:proofErr w:type="gramStart"/>
      <w:r>
        <w:t>i.e.</w:t>
      </w:r>
      <w:proofErr w:type="gramEnd"/>
      <w:r>
        <w:t xml:space="preserve"> an injury that is ‘beyond’ first aid and required intervention by a medical professional) injuries, divided by the </w:t>
      </w:r>
      <w:r w:rsidRPr="00AD10E1">
        <w:t xml:space="preserve">total number of hours worked in the </w:t>
      </w:r>
      <w:r>
        <w:t>period.</w:t>
      </w:r>
    </w:p>
    <w:p w14:paraId="401A89A3" w14:textId="77777777" w:rsidR="00047F11" w:rsidRDefault="00047F11" w:rsidP="00047F11">
      <w:pPr>
        <w:pStyle w:val="BodyText"/>
        <w:kinsoku w:val="0"/>
        <w:overflowPunct w:val="0"/>
      </w:pPr>
    </w:p>
    <w:p w14:paraId="551F059C" w14:textId="77777777" w:rsidR="00047F11" w:rsidRDefault="00047F11" w:rsidP="00047F11">
      <w:pPr>
        <w:pStyle w:val="BodyText"/>
        <w:kinsoku w:val="0"/>
        <w:overflowPunct w:val="0"/>
      </w:pPr>
      <w:r>
        <w:t xml:space="preserve">Lost time performance and related indicators should be used with caution and do not provide a definitive view as to overall safety performance.  They are best used in conjunction with a range of other lagging and leading safety indicators, such as those shown in Table 1, to provide a more comprehensive picture of WHS performance within a work area. </w:t>
      </w:r>
    </w:p>
    <w:p w14:paraId="222711E2" w14:textId="77777777" w:rsidR="00047F11" w:rsidRDefault="00047F11" w:rsidP="00047F11">
      <w:pPr>
        <w:pStyle w:val="BodyText"/>
        <w:kinsoku w:val="0"/>
        <w:overflowPunct w:val="0"/>
      </w:pPr>
    </w:p>
    <w:p w14:paraId="6440FCE4" w14:textId="77777777" w:rsidR="007B6578" w:rsidRPr="000739D3" w:rsidRDefault="007B6578" w:rsidP="00BE4832">
      <w:pPr>
        <w:pStyle w:val="BodyText"/>
        <w:kinsoku w:val="0"/>
        <w:overflowPunct w:val="0"/>
      </w:pPr>
    </w:p>
    <w:p w14:paraId="15839067" w14:textId="3A83FD5B" w:rsidR="00F32C9E" w:rsidRPr="001A581E" w:rsidRDefault="001A581E" w:rsidP="00CD61CA">
      <w:pPr>
        <w:pStyle w:val="BodyText"/>
        <w:kinsoku w:val="0"/>
        <w:overflowPunct w:val="0"/>
        <w:spacing w:before="6"/>
        <w:rPr>
          <w:b/>
          <w:bCs/>
        </w:rPr>
      </w:pPr>
      <w:r>
        <w:rPr>
          <w:b/>
          <w:bCs/>
        </w:rPr>
        <w:t>Figure</w:t>
      </w:r>
      <w:r w:rsidRPr="001A581E">
        <w:rPr>
          <w:b/>
          <w:bCs/>
        </w:rPr>
        <w:t xml:space="preserve"> 1 – LTIFR for ACU (Overall and Portfolios)</w:t>
      </w:r>
    </w:p>
    <w:p w14:paraId="1639F8B7" w14:textId="7AC007E2" w:rsidR="001A581E" w:rsidRDefault="0035061A" w:rsidP="00CD61CA">
      <w:pPr>
        <w:pStyle w:val="BodyText"/>
        <w:kinsoku w:val="0"/>
        <w:overflowPunct w:val="0"/>
        <w:spacing w:before="6"/>
      </w:pPr>
      <w:r>
        <w:rPr>
          <w:noProof/>
        </w:rPr>
        <w:drawing>
          <wp:inline distT="0" distB="0" distL="0" distR="0" wp14:anchorId="33FB64BC" wp14:editId="0EC43A63">
            <wp:extent cx="6210300" cy="4582160"/>
            <wp:effectExtent l="0" t="0" r="0" b="8890"/>
            <wp:docPr id="1003686044" name="Chart 1">
              <a:extLst xmlns:a="http://schemas.openxmlformats.org/drawingml/2006/main">
                <a:ext uri="{FF2B5EF4-FFF2-40B4-BE49-F238E27FC236}">
                  <a16:creationId xmlns:a16="http://schemas.microsoft.com/office/drawing/2014/main" id="{8F0D9F3B-DA3F-1BF7-78D9-D6D3BB2803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29466E6" w14:textId="77777777" w:rsidR="001A581E" w:rsidRDefault="001A581E" w:rsidP="00CD61CA">
      <w:pPr>
        <w:pStyle w:val="BodyText"/>
        <w:kinsoku w:val="0"/>
        <w:overflowPunct w:val="0"/>
        <w:spacing w:before="6"/>
      </w:pPr>
    </w:p>
    <w:p w14:paraId="6152754B" w14:textId="77777777" w:rsidR="001A581E" w:rsidRDefault="001A581E" w:rsidP="00CD61CA">
      <w:pPr>
        <w:pStyle w:val="BodyText"/>
        <w:kinsoku w:val="0"/>
        <w:overflowPunct w:val="0"/>
        <w:spacing w:before="6"/>
      </w:pPr>
    </w:p>
    <w:p w14:paraId="51069067" w14:textId="145C4A64" w:rsidR="008C1927" w:rsidRPr="004E24C8" w:rsidRDefault="008C1927" w:rsidP="00CD61CA">
      <w:pPr>
        <w:pStyle w:val="BodyText"/>
        <w:kinsoku w:val="0"/>
        <w:overflowPunct w:val="0"/>
        <w:spacing w:before="6"/>
      </w:pPr>
      <w:r w:rsidRPr="004E24C8">
        <w:t>Notes to Figures 1 and 2:</w:t>
      </w:r>
    </w:p>
    <w:p w14:paraId="74F8C9D1" w14:textId="77777777" w:rsidR="008C1927" w:rsidRPr="004E24C8" w:rsidRDefault="008C1927" w:rsidP="00CD61CA">
      <w:pPr>
        <w:pStyle w:val="BodyText"/>
        <w:kinsoku w:val="0"/>
        <w:overflowPunct w:val="0"/>
        <w:spacing w:before="6"/>
      </w:pPr>
    </w:p>
    <w:p w14:paraId="06100166" w14:textId="339E8C1C" w:rsidR="008C1927" w:rsidRPr="004E24C8" w:rsidRDefault="008C1927" w:rsidP="008C1927">
      <w:pPr>
        <w:pStyle w:val="BodyText"/>
        <w:numPr>
          <w:ilvl w:val="0"/>
          <w:numId w:val="37"/>
        </w:numPr>
        <w:kinsoku w:val="0"/>
        <w:overflowPunct w:val="0"/>
        <w:spacing w:before="6"/>
      </w:pPr>
      <w:r w:rsidRPr="004E24C8">
        <w:t>LTIFR is best viewed as a trend over time and over large employee populations.</w:t>
      </w:r>
    </w:p>
    <w:p w14:paraId="00C4ADEE" w14:textId="2ABBD1B1" w:rsidR="008C1927" w:rsidRPr="004E24C8" w:rsidRDefault="008C1927" w:rsidP="008C1927">
      <w:pPr>
        <w:pStyle w:val="BodyText"/>
        <w:numPr>
          <w:ilvl w:val="0"/>
          <w:numId w:val="37"/>
        </w:numPr>
        <w:kinsoku w:val="0"/>
        <w:overflowPunct w:val="0"/>
        <w:spacing w:before="6"/>
      </w:pPr>
      <w:r w:rsidRPr="004E24C8">
        <w:t xml:space="preserve">Rolling 12-month data for any given month </w:t>
      </w:r>
      <w:proofErr w:type="gramStart"/>
      <w:r w:rsidRPr="004E24C8">
        <w:t>takes into account</w:t>
      </w:r>
      <w:proofErr w:type="gramEnd"/>
      <w:r w:rsidRPr="004E24C8">
        <w:t xml:space="preserve"> WHS performance for the current month as well as that over the preceding 11 months.</w:t>
      </w:r>
    </w:p>
    <w:p w14:paraId="767865D8" w14:textId="4C680811" w:rsidR="008C1927" w:rsidRPr="004E24C8" w:rsidRDefault="008C1927" w:rsidP="008C1927">
      <w:pPr>
        <w:pStyle w:val="BodyText"/>
        <w:numPr>
          <w:ilvl w:val="0"/>
          <w:numId w:val="37"/>
        </w:numPr>
        <w:kinsoku w:val="0"/>
        <w:overflowPunct w:val="0"/>
        <w:spacing w:before="6"/>
      </w:pPr>
      <w:r w:rsidRPr="004E24C8">
        <w:t xml:space="preserve">As calculations are based on hours worked, </w:t>
      </w:r>
      <w:r w:rsidR="0038399A" w:rsidRPr="004E24C8">
        <w:t xml:space="preserve">a single lost time incident in a </w:t>
      </w:r>
      <w:r w:rsidRPr="004E24C8">
        <w:t xml:space="preserve">portfolio with considerably smaller numbers of staff </w:t>
      </w:r>
      <w:r w:rsidR="0038399A" w:rsidRPr="004E24C8">
        <w:t xml:space="preserve">can have a large </w:t>
      </w:r>
      <w:r w:rsidR="004E24C8">
        <w:t>relative</w:t>
      </w:r>
      <w:r w:rsidR="0038399A" w:rsidRPr="004E24C8">
        <w:t xml:space="preserve"> impact on LTIFR/TRIFR. </w:t>
      </w:r>
    </w:p>
    <w:p w14:paraId="67701CB8" w14:textId="77777777" w:rsidR="001A581E" w:rsidRDefault="001A581E" w:rsidP="00CD61CA">
      <w:pPr>
        <w:pStyle w:val="BodyText"/>
        <w:kinsoku w:val="0"/>
        <w:overflowPunct w:val="0"/>
        <w:spacing w:before="6"/>
      </w:pPr>
    </w:p>
    <w:p w14:paraId="134C2B52" w14:textId="77777777" w:rsidR="001A581E" w:rsidRDefault="001A581E">
      <w:pPr>
        <w:widowControl/>
        <w:autoSpaceDE/>
        <w:autoSpaceDN/>
        <w:adjustRightInd/>
        <w:rPr>
          <w:b/>
          <w:bCs/>
          <w:sz w:val="20"/>
          <w:szCs w:val="20"/>
        </w:rPr>
      </w:pPr>
      <w:r>
        <w:rPr>
          <w:b/>
          <w:bCs/>
        </w:rPr>
        <w:br w:type="page"/>
      </w:r>
    </w:p>
    <w:p w14:paraId="06D934FC" w14:textId="3E18A951" w:rsidR="001A581E" w:rsidRPr="001A581E" w:rsidRDefault="001A581E" w:rsidP="001A581E">
      <w:pPr>
        <w:pStyle w:val="BodyText"/>
        <w:kinsoku w:val="0"/>
        <w:overflowPunct w:val="0"/>
        <w:spacing w:before="6"/>
        <w:rPr>
          <w:b/>
          <w:bCs/>
        </w:rPr>
      </w:pPr>
      <w:r>
        <w:rPr>
          <w:b/>
          <w:bCs/>
        </w:rPr>
        <w:lastRenderedPageBreak/>
        <w:t>Figure</w:t>
      </w:r>
      <w:r w:rsidRPr="001A581E">
        <w:rPr>
          <w:b/>
          <w:bCs/>
        </w:rPr>
        <w:t xml:space="preserve"> </w:t>
      </w:r>
      <w:r>
        <w:rPr>
          <w:b/>
          <w:bCs/>
        </w:rPr>
        <w:t>2</w:t>
      </w:r>
      <w:r w:rsidRPr="001A581E">
        <w:rPr>
          <w:b/>
          <w:bCs/>
        </w:rPr>
        <w:t xml:space="preserve"> – </w:t>
      </w:r>
      <w:r>
        <w:rPr>
          <w:b/>
          <w:bCs/>
        </w:rPr>
        <w:t xml:space="preserve">TRIFR </w:t>
      </w:r>
      <w:r w:rsidRPr="001A581E">
        <w:rPr>
          <w:b/>
          <w:bCs/>
        </w:rPr>
        <w:t>for ACU (Overall and Portfolios)</w:t>
      </w:r>
    </w:p>
    <w:p w14:paraId="1BA58AAC" w14:textId="6D61A6C1" w:rsidR="001A581E" w:rsidRDefault="0035061A" w:rsidP="00CD61CA">
      <w:pPr>
        <w:pStyle w:val="BodyText"/>
        <w:kinsoku w:val="0"/>
        <w:overflowPunct w:val="0"/>
        <w:spacing w:before="6"/>
      </w:pPr>
      <w:r>
        <w:rPr>
          <w:noProof/>
        </w:rPr>
        <w:drawing>
          <wp:inline distT="0" distB="0" distL="0" distR="0" wp14:anchorId="56472CD4" wp14:editId="7A9DB27D">
            <wp:extent cx="6210300" cy="4013200"/>
            <wp:effectExtent l="0" t="0" r="0" b="6350"/>
            <wp:docPr id="826575644" name="Chart 1">
              <a:extLst xmlns:a="http://schemas.openxmlformats.org/drawingml/2006/main">
                <a:ext uri="{FF2B5EF4-FFF2-40B4-BE49-F238E27FC236}">
                  <a16:creationId xmlns:a16="http://schemas.microsoft.com/office/drawing/2014/main" id="{DA177B73-CF67-B8A5-0C03-0C143B556E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0CBF4BB" w14:textId="77777777" w:rsidR="001A581E" w:rsidRDefault="001A581E" w:rsidP="00CD61CA">
      <w:pPr>
        <w:pStyle w:val="BodyText"/>
        <w:kinsoku w:val="0"/>
        <w:overflowPunct w:val="0"/>
        <w:spacing w:before="6"/>
      </w:pPr>
    </w:p>
    <w:p w14:paraId="07257B66" w14:textId="01F1D0C1" w:rsidR="001A581E" w:rsidRPr="000D603E" w:rsidRDefault="0035061A" w:rsidP="0035061A">
      <w:pPr>
        <w:pStyle w:val="BodyText"/>
        <w:kinsoku w:val="0"/>
        <w:overflowPunct w:val="0"/>
        <w:spacing w:before="6"/>
        <w:rPr>
          <w:b/>
          <w:bCs/>
        </w:rPr>
      </w:pPr>
      <w:r w:rsidRPr="0035061A">
        <w:rPr>
          <w:b/>
          <w:bCs/>
        </w:rPr>
        <w:t>2.4</w:t>
      </w:r>
      <w:r>
        <w:t xml:space="preserve"> </w:t>
      </w:r>
      <w:r w:rsidR="000D603E" w:rsidRPr="000D603E">
        <w:rPr>
          <w:b/>
          <w:bCs/>
        </w:rPr>
        <w:t xml:space="preserve">WHS Performance Commentary </w:t>
      </w:r>
    </w:p>
    <w:p w14:paraId="4501994C" w14:textId="77777777" w:rsidR="000D603E" w:rsidRDefault="000D603E" w:rsidP="007079D3">
      <w:pPr>
        <w:pStyle w:val="BodyText"/>
        <w:kinsoku w:val="0"/>
        <w:overflowPunct w:val="0"/>
        <w:spacing w:before="6"/>
      </w:pPr>
    </w:p>
    <w:p w14:paraId="754C1E54" w14:textId="380E0CBE" w:rsidR="007079D3" w:rsidRDefault="007079D3" w:rsidP="007079D3">
      <w:pPr>
        <w:pStyle w:val="BodyText"/>
        <w:kinsoku w:val="0"/>
        <w:overflowPunct w:val="0"/>
        <w:spacing w:before="6"/>
      </w:pPr>
      <w:r>
        <w:t xml:space="preserve">In reviewing and comparing </w:t>
      </w:r>
      <w:r w:rsidR="00047F11">
        <w:t xml:space="preserve">data for </w:t>
      </w:r>
      <w:r>
        <w:t xml:space="preserve">Quarter </w:t>
      </w:r>
      <w:r w:rsidR="00047F11">
        <w:t xml:space="preserve">3 against the previous </w:t>
      </w:r>
      <w:r w:rsidR="00A45593">
        <w:t>period</w:t>
      </w:r>
      <w:r w:rsidR="00047F11">
        <w:t>,</w:t>
      </w:r>
      <w:r>
        <w:t xml:space="preserve"> the following </w:t>
      </w:r>
      <w:r w:rsidR="00047F11">
        <w:t>observations are made:</w:t>
      </w:r>
    </w:p>
    <w:p w14:paraId="2845A884" w14:textId="77777777" w:rsidR="00047F11" w:rsidRDefault="00047F11" w:rsidP="007079D3">
      <w:pPr>
        <w:pStyle w:val="BodyText"/>
        <w:kinsoku w:val="0"/>
        <w:overflowPunct w:val="0"/>
        <w:spacing w:before="6"/>
      </w:pPr>
    </w:p>
    <w:p w14:paraId="42C32FA0" w14:textId="39FF6FDE" w:rsidR="007079D3" w:rsidRDefault="007079D3" w:rsidP="007079D3">
      <w:pPr>
        <w:pStyle w:val="BodyText"/>
        <w:numPr>
          <w:ilvl w:val="0"/>
          <w:numId w:val="38"/>
        </w:numPr>
        <w:kinsoku w:val="0"/>
        <w:overflowPunct w:val="0"/>
        <w:spacing w:before="6"/>
      </w:pPr>
      <w:r>
        <w:t xml:space="preserve">At the end of Quarter 2, the ACU Overall LTIFR was 2.06, at the end of </w:t>
      </w:r>
      <w:r w:rsidR="00047F11">
        <w:t>Q</w:t>
      </w:r>
      <w:r>
        <w:t xml:space="preserve">uarter 3 this has increased </w:t>
      </w:r>
      <w:r w:rsidR="00047F11">
        <w:t xml:space="preserve">by 58% </w:t>
      </w:r>
      <w:r>
        <w:t xml:space="preserve">to 3.26. </w:t>
      </w:r>
    </w:p>
    <w:p w14:paraId="06D3AC6C" w14:textId="13A6851D" w:rsidR="007079D3" w:rsidRDefault="007079D3" w:rsidP="007079D3">
      <w:pPr>
        <w:pStyle w:val="BodyText"/>
        <w:numPr>
          <w:ilvl w:val="0"/>
          <w:numId w:val="38"/>
        </w:numPr>
        <w:kinsoku w:val="0"/>
        <w:overflowPunct w:val="0"/>
        <w:spacing w:before="6"/>
      </w:pPr>
      <w:r>
        <w:t xml:space="preserve">Similarly, at the end of Quarter 2, the ACU overall TRIF was 6.18, at the end of </w:t>
      </w:r>
      <w:r w:rsidR="00A45593">
        <w:t>Q</w:t>
      </w:r>
      <w:r>
        <w:t xml:space="preserve">uarter 3 this has increased to </w:t>
      </w:r>
      <w:r w:rsidR="00A45593">
        <w:t xml:space="preserve">by 15% to </w:t>
      </w:r>
      <w:r>
        <w:t xml:space="preserve">7.11. </w:t>
      </w:r>
    </w:p>
    <w:p w14:paraId="5B38FAC7" w14:textId="3A8BD221" w:rsidR="00A45593" w:rsidRDefault="00A45593" w:rsidP="00A45593">
      <w:pPr>
        <w:pStyle w:val="BodyText"/>
        <w:numPr>
          <w:ilvl w:val="0"/>
          <w:numId w:val="38"/>
        </w:numPr>
        <w:kinsoku w:val="0"/>
        <w:overflowPunct w:val="0"/>
        <w:spacing w:before="6"/>
      </w:pPr>
      <w:r>
        <w:t>As a result of the claims lodged, the LTIFR for Provost at the end of Q2 was 0.44, compared to Q3 which is 2.63, or almost 5 times the rate at the end of the previous quarter.</w:t>
      </w:r>
    </w:p>
    <w:p w14:paraId="752263A2" w14:textId="6003D886" w:rsidR="007079D3" w:rsidRDefault="007079D3" w:rsidP="00444111">
      <w:pPr>
        <w:pStyle w:val="BodyText"/>
        <w:numPr>
          <w:ilvl w:val="0"/>
          <w:numId w:val="38"/>
        </w:numPr>
        <w:kinsoku w:val="0"/>
        <w:overflowPunct w:val="0"/>
        <w:spacing w:before="6"/>
      </w:pPr>
      <w:r>
        <w:t>In Quarter 3</w:t>
      </w:r>
      <w:r w:rsidR="00A45593">
        <w:t>,</w:t>
      </w:r>
      <w:r>
        <w:t xml:space="preserve"> 8 workers compensation claims were lodged</w:t>
      </w:r>
      <w:r w:rsidR="00A45593">
        <w:t xml:space="preserve">: </w:t>
      </w:r>
      <w:r>
        <w:t>4 of these claims are psychological and lost time injuries</w:t>
      </w:r>
      <w:r w:rsidR="00A45593">
        <w:t xml:space="preserve">, whilst </w:t>
      </w:r>
      <w:r>
        <w:t xml:space="preserve">4 of these claims are for physical injuries. </w:t>
      </w:r>
    </w:p>
    <w:p w14:paraId="7CB02017" w14:textId="04E7A529" w:rsidR="007079D3" w:rsidRDefault="007079D3" w:rsidP="007079D3">
      <w:pPr>
        <w:pStyle w:val="BodyText"/>
        <w:numPr>
          <w:ilvl w:val="0"/>
          <w:numId w:val="38"/>
        </w:numPr>
        <w:kinsoku w:val="0"/>
        <w:overflowPunct w:val="0"/>
        <w:spacing w:before="6"/>
      </w:pPr>
      <w:r>
        <w:t>Out of the 4 psychological claims that were lodged</w:t>
      </w:r>
      <w:r w:rsidR="00A45593">
        <w:t xml:space="preserve"> during the quarter</w:t>
      </w:r>
      <w:r>
        <w:t xml:space="preserve">, </w:t>
      </w:r>
      <w:r w:rsidR="00A45593">
        <w:t>all four claimants remain unfit for work</w:t>
      </w:r>
      <w:r>
        <w:t>.</w:t>
      </w:r>
    </w:p>
    <w:p w14:paraId="37E5C57A" w14:textId="090BDCBF" w:rsidR="00A45593" w:rsidRDefault="00A45593" w:rsidP="007079D3">
      <w:pPr>
        <w:pStyle w:val="BodyText"/>
        <w:numPr>
          <w:ilvl w:val="0"/>
          <w:numId w:val="38"/>
        </w:numPr>
        <w:kinsoku w:val="0"/>
        <w:overflowPunct w:val="0"/>
        <w:spacing w:before="6"/>
      </w:pPr>
      <w:r>
        <w:t xml:space="preserve">This increase in psychological claims, coupled with the </w:t>
      </w:r>
      <w:r w:rsidR="00FA0634">
        <w:t xml:space="preserve">findings from the </w:t>
      </w:r>
      <w:r>
        <w:t xml:space="preserve">AHEAI benchmarking data (see </w:t>
      </w:r>
      <w:r w:rsidR="00FA0634">
        <w:t xml:space="preserve">Section </w:t>
      </w:r>
      <w:r>
        <w:t>2.5), highlights the need for ACU to focus on and invest in prevention strategies which eliminate or minimise psychosocial hazards, as well as ensuring that early intervention activities are undertaken by staff and people manager to protect against issues (such as interpersonal conflicts) developing into psychological illnesses for impacted staff.  Work being done on responding to psychosocial hazard requirements, as well as a staff/student mental wellbeing strategy (</w:t>
      </w:r>
      <w:r w:rsidR="00FA0634">
        <w:t xml:space="preserve">both referred to in </w:t>
      </w:r>
      <w:r>
        <w:t xml:space="preserve">Section 3 below) </w:t>
      </w:r>
      <w:r w:rsidR="00FA0634">
        <w:t>will greatly assist in this</w:t>
      </w:r>
      <w:r>
        <w:t>.</w:t>
      </w:r>
    </w:p>
    <w:p w14:paraId="0083CED9" w14:textId="77777777" w:rsidR="000D603E" w:rsidRDefault="000D603E" w:rsidP="00CD61CA">
      <w:pPr>
        <w:pStyle w:val="BodyText"/>
        <w:kinsoku w:val="0"/>
        <w:overflowPunct w:val="0"/>
        <w:spacing w:before="6"/>
      </w:pPr>
    </w:p>
    <w:p w14:paraId="37C87781" w14:textId="77777777" w:rsidR="00047F11" w:rsidRDefault="00047F11" w:rsidP="00047F11">
      <w:pPr>
        <w:pStyle w:val="BodyText"/>
        <w:kinsoku w:val="0"/>
        <w:overflowPunct w:val="0"/>
        <w:spacing w:before="6"/>
        <w:rPr>
          <w:b/>
          <w:bCs/>
        </w:rPr>
      </w:pPr>
      <w:r w:rsidRPr="0035061A">
        <w:rPr>
          <w:b/>
          <w:bCs/>
        </w:rPr>
        <w:t>2.</w:t>
      </w:r>
      <w:r>
        <w:rPr>
          <w:b/>
          <w:bCs/>
        </w:rPr>
        <w:t>5</w:t>
      </w:r>
      <w:r>
        <w:t xml:space="preserve"> </w:t>
      </w:r>
      <w:r w:rsidRPr="000D603E">
        <w:rPr>
          <w:b/>
          <w:bCs/>
        </w:rPr>
        <w:t xml:space="preserve">WHS </w:t>
      </w:r>
      <w:r>
        <w:rPr>
          <w:b/>
          <w:bCs/>
        </w:rPr>
        <w:t>Sector Benchmarking</w:t>
      </w:r>
    </w:p>
    <w:p w14:paraId="4E329B00" w14:textId="77777777" w:rsidR="00047F11" w:rsidRDefault="00047F11" w:rsidP="00047F11">
      <w:pPr>
        <w:pStyle w:val="BodyText"/>
        <w:kinsoku w:val="0"/>
        <w:overflowPunct w:val="0"/>
        <w:spacing w:before="6"/>
        <w:rPr>
          <w:b/>
          <w:bCs/>
        </w:rPr>
      </w:pPr>
    </w:p>
    <w:p w14:paraId="6D0C142A" w14:textId="49C64459" w:rsidR="00FA0634" w:rsidRDefault="00FA0634" w:rsidP="00FA0634">
      <w:pPr>
        <w:pStyle w:val="BodyText"/>
        <w:kinsoku w:val="0"/>
        <w:overflowPunct w:val="0"/>
      </w:pPr>
      <w:r>
        <w:t xml:space="preserve">ACU participates each year in the AHEAI </w:t>
      </w:r>
      <w:r w:rsidR="00DB20AD" w:rsidRPr="00FA0634">
        <w:t>Universities HR Benchmarking Program</w:t>
      </w:r>
      <w:r w:rsidR="00DB20AD">
        <w:t>.  This program</w:t>
      </w:r>
      <w:r w:rsidR="00DB20AD" w:rsidRPr="00FA0634">
        <w:t xml:space="preserve"> was established in 2004 </w:t>
      </w:r>
      <w:proofErr w:type="gramStart"/>
      <w:r w:rsidR="00DB20AD" w:rsidRPr="00FA0634">
        <w:t>as a result of</w:t>
      </w:r>
      <w:proofErr w:type="gramEnd"/>
      <w:r w:rsidR="00DB20AD" w:rsidRPr="00FA0634">
        <w:t xml:space="preserve"> collaboration between a number of Australian Universities who </w:t>
      </w:r>
      <w:r w:rsidR="00394FB8">
        <w:t xml:space="preserve">sought </w:t>
      </w:r>
      <w:r w:rsidR="00DB20AD" w:rsidRPr="00FA0634">
        <w:t>to compare and contrast human resource data with like institutions. The program has expanded substantially and in 2022 consist</w:t>
      </w:r>
      <w:r w:rsidR="00DB20AD">
        <w:t>ed</w:t>
      </w:r>
      <w:r w:rsidR="00DB20AD" w:rsidRPr="00FA0634">
        <w:t xml:space="preserve"> of 30 members from Australia. This benchmarking exercises cover a broad range of HR data across the tertiary sector, includ</w:t>
      </w:r>
      <w:r w:rsidR="00394FB8">
        <w:t>ing</w:t>
      </w:r>
      <w:r w:rsidR="00DB20AD" w:rsidRPr="00FA0634">
        <w:t xml:space="preserve"> WHS and Workers Compensation data.</w:t>
      </w:r>
    </w:p>
    <w:p w14:paraId="27E5D58A" w14:textId="77777777" w:rsidR="00FA0634" w:rsidRDefault="00FA0634" w:rsidP="00FA0634">
      <w:pPr>
        <w:pStyle w:val="BodyText"/>
        <w:kinsoku w:val="0"/>
        <w:overflowPunct w:val="0"/>
      </w:pPr>
    </w:p>
    <w:p w14:paraId="13D9E35B" w14:textId="7CA21E43" w:rsidR="00DB20AD" w:rsidRDefault="00DB20AD" w:rsidP="00DB20AD">
      <w:pPr>
        <w:pStyle w:val="BodyText"/>
        <w:kinsoku w:val="0"/>
        <w:overflowPunct w:val="0"/>
      </w:pPr>
      <w:r>
        <w:t>A summary of data from the 2023 AHEAI Benchmarking Program report is included in Table 2 below</w:t>
      </w:r>
      <w:r w:rsidR="00394FB8">
        <w:t>. E</w:t>
      </w:r>
      <w:r>
        <w:t>xtracts from the report relevant to ACU’s WHS and w</w:t>
      </w:r>
      <w:r w:rsidRPr="00FA0634">
        <w:t xml:space="preserve">orkers </w:t>
      </w:r>
      <w:r>
        <w:t>c</w:t>
      </w:r>
      <w:r w:rsidRPr="00FA0634">
        <w:t xml:space="preserve">ompensation </w:t>
      </w:r>
      <w:r>
        <w:t xml:space="preserve">performance relative to the sector are included as Appendix 1 to </w:t>
      </w:r>
      <w:r w:rsidR="00394FB8">
        <w:t>this quarterly</w:t>
      </w:r>
      <w:r>
        <w:t xml:space="preserve"> report. </w:t>
      </w:r>
    </w:p>
    <w:p w14:paraId="2D48E51F" w14:textId="77777777" w:rsidR="00DB20AD" w:rsidRDefault="00DB20AD" w:rsidP="00DB20AD">
      <w:pPr>
        <w:pStyle w:val="BodyText"/>
        <w:kinsoku w:val="0"/>
        <w:overflowPunct w:val="0"/>
      </w:pPr>
    </w:p>
    <w:p w14:paraId="43228C29" w14:textId="77777777" w:rsidR="00DB20AD" w:rsidRDefault="00DB20AD" w:rsidP="00DB20AD">
      <w:pPr>
        <w:pStyle w:val="BodyText"/>
        <w:kinsoku w:val="0"/>
        <w:overflowPunct w:val="0"/>
      </w:pPr>
    </w:p>
    <w:p w14:paraId="08A4E090" w14:textId="058AF7EB" w:rsidR="00DB20AD" w:rsidRDefault="00DB20AD" w:rsidP="00DB20AD">
      <w:pPr>
        <w:pStyle w:val="BodyText"/>
        <w:kinsoku w:val="0"/>
        <w:overflowPunct w:val="0"/>
      </w:pPr>
      <w:r>
        <w:lastRenderedPageBreak/>
        <w:t>As discussed at the September ACU WHS Management Committee meeting, the extracted WHS data suggests the following messages about ACU in comparison to other institutions:</w:t>
      </w:r>
    </w:p>
    <w:p w14:paraId="5691276E" w14:textId="77777777" w:rsidR="00DB20AD" w:rsidRDefault="00DB20AD" w:rsidP="00DB20AD">
      <w:pPr>
        <w:pStyle w:val="BodyText"/>
        <w:kinsoku w:val="0"/>
        <w:overflowPunct w:val="0"/>
      </w:pPr>
    </w:p>
    <w:p w14:paraId="3847974E" w14:textId="1074D165" w:rsidR="00DB20AD" w:rsidRDefault="00DB20AD" w:rsidP="00DB20AD">
      <w:pPr>
        <w:pStyle w:val="BodyText"/>
        <w:numPr>
          <w:ilvl w:val="0"/>
          <w:numId w:val="33"/>
        </w:numPr>
        <w:kinsoku w:val="0"/>
        <w:overflowPunct w:val="0"/>
      </w:pPr>
      <w:r>
        <w:t>ACU allocates less people resources to WHS,</w:t>
      </w:r>
    </w:p>
    <w:p w14:paraId="2D845E82" w14:textId="14F1BCFE" w:rsidR="00DB20AD" w:rsidRDefault="00DB20AD" w:rsidP="00DB20AD">
      <w:pPr>
        <w:pStyle w:val="BodyText"/>
        <w:numPr>
          <w:ilvl w:val="0"/>
          <w:numId w:val="33"/>
        </w:numPr>
        <w:kinsoku w:val="0"/>
        <w:overflowPunct w:val="0"/>
      </w:pPr>
      <w:r>
        <w:t>More staff are injured,</w:t>
      </w:r>
    </w:p>
    <w:p w14:paraId="4A2A6C87" w14:textId="18EC2329" w:rsidR="00DB20AD" w:rsidRDefault="00DB20AD" w:rsidP="00DB20AD">
      <w:pPr>
        <w:pStyle w:val="BodyText"/>
        <w:numPr>
          <w:ilvl w:val="0"/>
          <w:numId w:val="33"/>
        </w:numPr>
        <w:kinsoku w:val="0"/>
        <w:overflowPunct w:val="0"/>
      </w:pPr>
      <w:proofErr w:type="gramStart"/>
      <w:r>
        <w:t>Workers</w:t>
      </w:r>
      <w:proofErr w:type="gramEnd"/>
      <w:r>
        <w:t xml:space="preserve"> compensation claims are double,</w:t>
      </w:r>
    </w:p>
    <w:p w14:paraId="589265F0" w14:textId="1091D0CB" w:rsidR="00DB20AD" w:rsidRDefault="00AC4E6C" w:rsidP="00DB20AD">
      <w:pPr>
        <w:pStyle w:val="BodyText"/>
        <w:numPr>
          <w:ilvl w:val="0"/>
          <w:numId w:val="33"/>
        </w:numPr>
        <w:kinsoku w:val="0"/>
        <w:overflowPunct w:val="0"/>
      </w:pPr>
      <w:r>
        <w:t>Injured/ill s</w:t>
      </w:r>
      <w:r w:rsidR="00DB20AD">
        <w:t>taff are off work for twice as long,</w:t>
      </w:r>
    </w:p>
    <w:p w14:paraId="035D7B70" w14:textId="404ACC4E" w:rsidR="00DB20AD" w:rsidRDefault="00DB20AD" w:rsidP="00DB20AD">
      <w:pPr>
        <w:pStyle w:val="BodyText"/>
        <w:numPr>
          <w:ilvl w:val="0"/>
          <w:numId w:val="33"/>
        </w:numPr>
        <w:kinsoku w:val="0"/>
        <w:overflowPunct w:val="0"/>
      </w:pPr>
      <w:r>
        <w:t>Psychological claims are double that of the sector average.</w:t>
      </w:r>
    </w:p>
    <w:p w14:paraId="34552399" w14:textId="77777777" w:rsidR="00DB20AD" w:rsidRDefault="00DB20AD" w:rsidP="00DB20AD">
      <w:pPr>
        <w:pStyle w:val="BodyText"/>
        <w:kinsoku w:val="0"/>
        <w:overflowPunct w:val="0"/>
      </w:pPr>
    </w:p>
    <w:p w14:paraId="1C3D1B65" w14:textId="6A0C586A" w:rsidR="00FA0634" w:rsidRDefault="00394FB8" w:rsidP="00394FB8">
      <w:pPr>
        <w:pStyle w:val="BodyText"/>
        <w:kinsoku w:val="0"/>
        <w:overflowPunct w:val="0"/>
      </w:pPr>
      <w:r>
        <w:t>T</w:t>
      </w:r>
      <w:r w:rsidR="00DB20AD">
        <w:t xml:space="preserve">he CPO advised the WHS Management Committee </w:t>
      </w:r>
      <w:r>
        <w:t xml:space="preserve">that, whilst the </w:t>
      </w:r>
      <w:r w:rsidR="00FD4EB6">
        <w:t xml:space="preserve">benchmarking </w:t>
      </w:r>
      <w:r>
        <w:t xml:space="preserve">data is sobering, it </w:t>
      </w:r>
      <w:r w:rsidR="00527AE1">
        <w:t xml:space="preserve">does also </w:t>
      </w:r>
      <w:r w:rsidR="00DB20AD">
        <w:t>allow</w:t>
      </w:r>
      <w:r w:rsidR="00527AE1">
        <w:t xml:space="preserve"> ACU </w:t>
      </w:r>
      <w:r w:rsidR="00DB20AD">
        <w:t>to focus on what is needed</w:t>
      </w:r>
      <w:r w:rsidR="00527AE1">
        <w:t xml:space="preserve"> to improve its WHS performance</w:t>
      </w:r>
      <w:r w:rsidR="00DB20AD">
        <w:t xml:space="preserve">. Health and Safety will remain a key focus </w:t>
      </w:r>
      <w:r>
        <w:t xml:space="preserve">and challenge </w:t>
      </w:r>
      <w:r w:rsidR="00DB20AD">
        <w:t xml:space="preserve">for the next ACU CPO and </w:t>
      </w:r>
      <w:r w:rsidR="00527AE1">
        <w:t xml:space="preserve">(in addition to improvement initiatives discussed in Section 3), </w:t>
      </w:r>
      <w:r w:rsidR="005C5B4D">
        <w:t xml:space="preserve">with the </w:t>
      </w:r>
      <w:r w:rsidR="00FD4EB6">
        <w:t xml:space="preserve">current </w:t>
      </w:r>
      <w:r w:rsidR="005C5B4D">
        <w:t xml:space="preserve">CPO observing that leadership </w:t>
      </w:r>
      <w:r w:rsidR="00DB20AD">
        <w:t xml:space="preserve">development </w:t>
      </w:r>
      <w:r w:rsidR="005C5B4D">
        <w:t xml:space="preserve">for line </w:t>
      </w:r>
      <w:r w:rsidR="00DB20AD">
        <w:t xml:space="preserve">managers as </w:t>
      </w:r>
      <w:r w:rsidR="005C5B4D">
        <w:t xml:space="preserve">well as cultivation of </w:t>
      </w:r>
      <w:r w:rsidR="00DB20AD">
        <w:t>psycho</w:t>
      </w:r>
      <w:r w:rsidR="005C5B4D">
        <w:t xml:space="preserve">logical safety </w:t>
      </w:r>
      <w:r w:rsidR="00DB20AD">
        <w:t>in teams</w:t>
      </w:r>
      <w:r>
        <w:t xml:space="preserve"> are also critical.</w:t>
      </w:r>
    </w:p>
    <w:p w14:paraId="256FD24B" w14:textId="77777777" w:rsidR="00394FB8" w:rsidRPr="00DB20AD" w:rsidRDefault="00394FB8" w:rsidP="00394FB8">
      <w:pPr>
        <w:pStyle w:val="BodyText"/>
        <w:kinsoku w:val="0"/>
        <w:overflowPunct w:val="0"/>
      </w:pPr>
    </w:p>
    <w:p w14:paraId="52F7D70D" w14:textId="1B230BD4" w:rsidR="00FA0634" w:rsidRPr="00DB20AD" w:rsidRDefault="00FA0634" w:rsidP="00FD4EB6">
      <w:pPr>
        <w:pStyle w:val="BodyText"/>
        <w:kinsoku w:val="0"/>
        <w:overflowPunct w:val="0"/>
      </w:pPr>
      <w:r w:rsidRPr="00DB20AD">
        <w:t xml:space="preserve">Implementation of the full set of recommendations from the psychosocial hazard report provided recently to the CPO, plus achieving all the commitments from the EY WHS audit and the commitments in the ACU People Plan, and with the Recovery Taskforce funding, will go a long way to addressing the poor performance relative to the sector. </w:t>
      </w:r>
      <w:r w:rsidR="00FD4EB6">
        <w:t>Challenges regarding current resource constraints (both capacity and capability) will need to be addressed as part of this journey over the coming years.</w:t>
      </w:r>
    </w:p>
    <w:p w14:paraId="079047A0" w14:textId="77777777" w:rsidR="00FA0634" w:rsidRPr="00DB20AD" w:rsidRDefault="00FA0634" w:rsidP="00DB20AD">
      <w:pPr>
        <w:pStyle w:val="BodyText"/>
        <w:kinsoku w:val="0"/>
        <w:overflowPunct w:val="0"/>
      </w:pPr>
    </w:p>
    <w:p w14:paraId="451872E8" w14:textId="19D5C08F" w:rsidR="00FA0634" w:rsidRDefault="005C5B4D" w:rsidP="00DB20AD">
      <w:pPr>
        <w:pStyle w:val="BodyText"/>
        <w:kinsoku w:val="0"/>
        <w:overflowPunct w:val="0"/>
        <w:rPr>
          <w:b/>
          <w:bCs/>
        </w:rPr>
      </w:pPr>
      <w:r w:rsidRPr="005C5B4D">
        <w:rPr>
          <w:b/>
          <w:bCs/>
        </w:rPr>
        <w:t>Table 2</w:t>
      </w:r>
      <w:r w:rsidR="00FA0634" w:rsidRPr="005C5B4D">
        <w:rPr>
          <w:b/>
          <w:bCs/>
        </w:rPr>
        <w:t>: AHEIA 2023 WHS Benchmarking Results:</w:t>
      </w:r>
    </w:p>
    <w:p w14:paraId="636CBE09" w14:textId="77777777" w:rsidR="005C5B4D" w:rsidRPr="005C5B4D" w:rsidRDefault="005C5B4D" w:rsidP="00DB20AD">
      <w:pPr>
        <w:pStyle w:val="BodyText"/>
        <w:kinsoku w:val="0"/>
        <w:overflowPunct w:val="0"/>
        <w:rPr>
          <w:b/>
          <w:bCs/>
        </w:rPr>
      </w:pPr>
    </w:p>
    <w:tbl>
      <w:tblPr>
        <w:tblW w:w="0" w:type="auto"/>
        <w:tblCellMar>
          <w:left w:w="0" w:type="dxa"/>
          <w:right w:w="0" w:type="dxa"/>
        </w:tblCellMar>
        <w:tblLook w:val="04A0" w:firstRow="1" w:lastRow="0" w:firstColumn="1" w:lastColumn="0" w:noHBand="0" w:noVBand="1"/>
      </w:tblPr>
      <w:tblGrid>
        <w:gridCol w:w="1814"/>
        <w:gridCol w:w="1814"/>
        <w:gridCol w:w="1017"/>
        <w:gridCol w:w="1018"/>
        <w:gridCol w:w="4097"/>
      </w:tblGrid>
      <w:tr w:rsidR="00FA0634" w:rsidRPr="00AC4E6C" w14:paraId="230FC36B" w14:textId="77777777" w:rsidTr="00AC4E6C">
        <w:trPr>
          <w:tblHeader/>
        </w:trPr>
        <w:tc>
          <w:tcPr>
            <w:tcW w:w="2337"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55FD0772" w14:textId="77777777" w:rsidR="00FA0634" w:rsidRPr="00AC4E6C" w:rsidRDefault="00FA0634" w:rsidP="00DB20AD">
            <w:pPr>
              <w:pStyle w:val="BodyText"/>
              <w:kinsoku w:val="0"/>
              <w:overflowPunct w:val="0"/>
              <w:rPr>
                <w:b/>
                <w:bCs/>
              </w:rPr>
            </w:pPr>
            <w:r w:rsidRPr="00AC4E6C">
              <w:rPr>
                <w:b/>
                <w:bCs/>
              </w:rPr>
              <w:t>Measure</w:t>
            </w:r>
          </w:p>
        </w:tc>
        <w:tc>
          <w:tcPr>
            <w:tcW w:w="2337"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67138018" w14:textId="77777777" w:rsidR="00FA0634" w:rsidRPr="00AC4E6C" w:rsidRDefault="00FA0634" w:rsidP="00DB20AD">
            <w:pPr>
              <w:pStyle w:val="BodyText"/>
              <w:kinsoku w:val="0"/>
              <w:overflowPunct w:val="0"/>
              <w:rPr>
                <w:b/>
                <w:bCs/>
              </w:rPr>
            </w:pPr>
            <w:r w:rsidRPr="00AC4E6C">
              <w:rPr>
                <w:b/>
                <w:bCs/>
              </w:rPr>
              <w:t>How calculated</w:t>
            </w:r>
          </w:p>
        </w:tc>
        <w:tc>
          <w:tcPr>
            <w:tcW w:w="1414"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72261732" w14:textId="77777777" w:rsidR="00FA0634" w:rsidRPr="00AC4E6C" w:rsidRDefault="00FA0634" w:rsidP="00DB20AD">
            <w:pPr>
              <w:pStyle w:val="BodyText"/>
              <w:kinsoku w:val="0"/>
              <w:overflowPunct w:val="0"/>
              <w:rPr>
                <w:b/>
                <w:bCs/>
              </w:rPr>
            </w:pPr>
            <w:r w:rsidRPr="00AC4E6C">
              <w:rPr>
                <w:b/>
                <w:bCs/>
              </w:rPr>
              <w:t xml:space="preserve">ACU </w:t>
            </w:r>
          </w:p>
        </w:tc>
        <w:tc>
          <w:tcPr>
            <w:tcW w:w="1417"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3A54CA62" w14:textId="77777777" w:rsidR="00FA0634" w:rsidRPr="00AC4E6C" w:rsidRDefault="00FA0634" w:rsidP="00DB20AD">
            <w:pPr>
              <w:pStyle w:val="BodyText"/>
              <w:kinsoku w:val="0"/>
              <w:overflowPunct w:val="0"/>
              <w:rPr>
                <w:b/>
                <w:bCs/>
              </w:rPr>
            </w:pPr>
            <w:r w:rsidRPr="00AC4E6C">
              <w:rPr>
                <w:b/>
                <w:bCs/>
              </w:rPr>
              <w:t>Sector</w:t>
            </w:r>
          </w:p>
        </w:tc>
        <w:tc>
          <w:tcPr>
            <w:tcW w:w="9214"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61E4D6C2" w14:textId="77777777" w:rsidR="00FA0634" w:rsidRPr="00AC4E6C" w:rsidRDefault="00FA0634" w:rsidP="00DB20AD">
            <w:pPr>
              <w:pStyle w:val="BodyText"/>
              <w:kinsoku w:val="0"/>
              <w:overflowPunct w:val="0"/>
              <w:rPr>
                <w:b/>
                <w:bCs/>
              </w:rPr>
            </w:pPr>
            <w:r w:rsidRPr="00AC4E6C">
              <w:rPr>
                <w:b/>
                <w:bCs/>
              </w:rPr>
              <w:t>Commentary</w:t>
            </w:r>
          </w:p>
        </w:tc>
      </w:tr>
      <w:tr w:rsidR="00FA0634" w:rsidRPr="00EE29DC" w14:paraId="6AF8EDE6" w14:textId="77777777" w:rsidTr="00B84F0D">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8ABC6" w14:textId="77777777" w:rsidR="00FA0634" w:rsidRPr="00DB20AD" w:rsidRDefault="00FA0634" w:rsidP="00DB20AD">
            <w:pPr>
              <w:pStyle w:val="BodyText"/>
              <w:kinsoku w:val="0"/>
              <w:overflowPunct w:val="0"/>
            </w:pPr>
            <w:r w:rsidRPr="00DB20AD">
              <w:t>WHS Staffing Ratio</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6372A4D8" w14:textId="77777777" w:rsidR="00FA0634" w:rsidRPr="00DB20AD" w:rsidRDefault="00FA0634" w:rsidP="00DB20AD">
            <w:pPr>
              <w:pStyle w:val="BodyText"/>
              <w:kinsoku w:val="0"/>
              <w:overflowPunct w:val="0"/>
            </w:pPr>
            <w:r w:rsidRPr="00DB20AD">
              <w:t>Measured as WHS staff divided by university headcount.</w:t>
            </w:r>
          </w:p>
        </w:tc>
        <w:tc>
          <w:tcPr>
            <w:tcW w:w="1414" w:type="dxa"/>
            <w:tcBorders>
              <w:top w:val="nil"/>
              <w:left w:val="nil"/>
              <w:bottom w:val="single" w:sz="8" w:space="0" w:color="auto"/>
              <w:right w:val="single" w:sz="8" w:space="0" w:color="auto"/>
            </w:tcBorders>
            <w:tcMar>
              <w:top w:w="0" w:type="dxa"/>
              <w:left w:w="108" w:type="dxa"/>
              <w:bottom w:w="0" w:type="dxa"/>
              <w:right w:w="108" w:type="dxa"/>
            </w:tcMar>
            <w:hideMark/>
          </w:tcPr>
          <w:p w14:paraId="402ACB1C" w14:textId="77777777" w:rsidR="00FA0634" w:rsidRPr="00AC4E6C" w:rsidRDefault="00FA0634" w:rsidP="00DB20AD">
            <w:pPr>
              <w:pStyle w:val="BodyText"/>
              <w:kinsoku w:val="0"/>
              <w:overflowPunct w:val="0"/>
              <w:rPr>
                <w:b/>
                <w:bCs/>
              </w:rPr>
            </w:pPr>
            <w:r w:rsidRPr="00AC4E6C">
              <w:rPr>
                <w:b/>
                <w:bCs/>
                <w:color w:val="FF0000"/>
              </w:rPr>
              <w:t>0.18%</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4BEC671" w14:textId="77777777" w:rsidR="00FA0634" w:rsidRPr="00DB20AD" w:rsidRDefault="00FA0634" w:rsidP="00DB20AD">
            <w:pPr>
              <w:pStyle w:val="BodyText"/>
              <w:kinsoku w:val="0"/>
              <w:overflowPunct w:val="0"/>
            </w:pPr>
            <w:r w:rsidRPr="00DB20AD">
              <w:t>0.33%</w:t>
            </w:r>
          </w:p>
        </w:tc>
        <w:tc>
          <w:tcPr>
            <w:tcW w:w="9214" w:type="dxa"/>
            <w:tcBorders>
              <w:top w:val="nil"/>
              <w:left w:val="nil"/>
              <w:bottom w:val="single" w:sz="8" w:space="0" w:color="auto"/>
              <w:right w:val="single" w:sz="8" w:space="0" w:color="auto"/>
            </w:tcBorders>
            <w:tcMar>
              <w:top w:w="0" w:type="dxa"/>
              <w:left w:w="108" w:type="dxa"/>
              <w:bottom w:w="0" w:type="dxa"/>
              <w:right w:w="108" w:type="dxa"/>
            </w:tcMar>
            <w:hideMark/>
          </w:tcPr>
          <w:p w14:paraId="65CFABA6" w14:textId="77777777" w:rsidR="00FA0634" w:rsidRPr="00DB20AD" w:rsidRDefault="00FA0634" w:rsidP="00DB20AD">
            <w:pPr>
              <w:pStyle w:val="BodyText"/>
              <w:kinsoku w:val="0"/>
              <w:overflowPunct w:val="0"/>
            </w:pPr>
            <w:r w:rsidRPr="00DB20AD">
              <w:t xml:space="preserve">At 0.18% ACU’s ratio is almost half the sector average of 0.33% and in the first </w:t>
            </w:r>
            <w:proofErr w:type="gramStart"/>
            <w:r w:rsidRPr="00DB20AD">
              <w:t>quartile, and</w:t>
            </w:r>
            <w:proofErr w:type="gramEnd"/>
            <w:r w:rsidRPr="00DB20AD">
              <w:t xml:space="preserve"> represents a deficit of 3-4 positions.</w:t>
            </w:r>
          </w:p>
        </w:tc>
      </w:tr>
      <w:tr w:rsidR="00FA0634" w:rsidRPr="00EE29DC" w14:paraId="71D99E6A" w14:textId="77777777" w:rsidTr="00B84F0D">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CB6E4A" w14:textId="77777777" w:rsidR="00FA0634" w:rsidRPr="00DB20AD" w:rsidRDefault="00FA0634" w:rsidP="00DB20AD">
            <w:pPr>
              <w:pStyle w:val="BodyText"/>
              <w:kinsoku w:val="0"/>
              <w:overflowPunct w:val="0"/>
            </w:pPr>
            <w:r w:rsidRPr="00DB20AD">
              <w:t>WHS Claim Rate</w:t>
            </w:r>
          </w:p>
          <w:p w14:paraId="1952EFB7" w14:textId="77777777" w:rsidR="00FA0634" w:rsidRPr="00DB20AD" w:rsidRDefault="00FA0634" w:rsidP="00DB20AD">
            <w:pPr>
              <w:pStyle w:val="BodyText"/>
              <w:kinsoku w:val="0"/>
              <w:overflowPunct w:val="0"/>
            </w:pP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1DC30970" w14:textId="77777777" w:rsidR="00FA0634" w:rsidRPr="00DB20AD" w:rsidRDefault="00FA0634" w:rsidP="00DB20AD">
            <w:pPr>
              <w:pStyle w:val="BodyText"/>
              <w:kinsoku w:val="0"/>
              <w:overflowPunct w:val="0"/>
            </w:pPr>
            <w:r w:rsidRPr="00DB20AD">
              <w:t>Measured as the total number of workers compensation claims made per 100 FTE.</w:t>
            </w:r>
          </w:p>
        </w:tc>
        <w:tc>
          <w:tcPr>
            <w:tcW w:w="1414" w:type="dxa"/>
            <w:tcBorders>
              <w:top w:val="nil"/>
              <w:left w:val="nil"/>
              <w:bottom w:val="single" w:sz="8" w:space="0" w:color="auto"/>
              <w:right w:val="single" w:sz="8" w:space="0" w:color="auto"/>
            </w:tcBorders>
            <w:tcMar>
              <w:top w:w="0" w:type="dxa"/>
              <w:left w:w="108" w:type="dxa"/>
              <w:bottom w:w="0" w:type="dxa"/>
              <w:right w:w="108" w:type="dxa"/>
            </w:tcMar>
            <w:hideMark/>
          </w:tcPr>
          <w:p w14:paraId="5E4DCBE0" w14:textId="77777777" w:rsidR="00FA0634" w:rsidRPr="00AC4E6C" w:rsidRDefault="00FA0634" w:rsidP="00DB20AD">
            <w:pPr>
              <w:pStyle w:val="BodyText"/>
              <w:kinsoku w:val="0"/>
              <w:overflowPunct w:val="0"/>
              <w:rPr>
                <w:b/>
                <w:bCs/>
              </w:rPr>
            </w:pPr>
            <w:r w:rsidRPr="00AC4E6C">
              <w:rPr>
                <w:b/>
                <w:bCs/>
                <w:color w:val="FF0000"/>
              </w:rPr>
              <w:t>0.83</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993476F" w14:textId="77777777" w:rsidR="00FA0634" w:rsidRPr="00DB20AD" w:rsidRDefault="00FA0634" w:rsidP="00DB20AD">
            <w:pPr>
              <w:pStyle w:val="BodyText"/>
              <w:kinsoku w:val="0"/>
              <w:overflowPunct w:val="0"/>
            </w:pPr>
            <w:r w:rsidRPr="00DB20AD">
              <w:t>0.75</w:t>
            </w:r>
          </w:p>
        </w:tc>
        <w:tc>
          <w:tcPr>
            <w:tcW w:w="9214" w:type="dxa"/>
            <w:tcBorders>
              <w:top w:val="nil"/>
              <w:left w:val="nil"/>
              <w:bottom w:val="single" w:sz="8" w:space="0" w:color="auto"/>
              <w:right w:val="single" w:sz="8" w:space="0" w:color="auto"/>
            </w:tcBorders>
            <w:tcMar>
              <w:top w:w="0" w:type="dxa"/>
              <w:left w:w="108" w:type="dxa"/>
              <w:bottom w:w="0" w:type="dxa"/>
              <w:right w:w="108" w:type="dxa"/>
            </w:tcMar>
            <w:hideMark/>
          </w:tcPr>
          <w:p w14:paraId="52285F37" w14:textId="77777777" w:rsidR="00FA0634" w:rsidRPr="00DB20AD" w:rsidRDefault="00FA0634" w:rsidP="00DB20AD">
            <w:pPr>
              <w:pStyle w:val="BodyText"/>
              <w:kinsoku w:val="0"/>
              <w:overflowPunct w:val="0"/>
            </w:pPr>
            <w:r w:rsidRPr="00DB20AD">
              <w:t>ACU’s ratio at 0.83 is ~10% higher than the sector average of 0.75 and puts ACU between the 50th and 75th percentiles.</w:t>
            </w:r>
          </w:p>
        </w:tc>
      </w:tr>
      <w:tr w:rsidR="00FA0634" w:rsidRPr="00EE29DC" w14:paraId="001D7CE9" w14:textId="77777777" w:rsidTr="00B84F0D">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F35C1" w14:textId="77777777" w:rsidR="00FA0634" w:rsidRPr="00DB20AD" w:rsidRDefault="00FA0634" w:rsidP="00DB20AD">
            <w:pPr>
              <w:pStyle w:val="BodyText"/>
              <w:kinsoku w:val="0"/>
              <w:overflowPunct w:val="0"/>
            </w:pPr>
            <w:r w:rsidRPr="00DB20AD">
              <w:t>Workers Compensation Cost</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2ADE00A9" w14:textId="77777777" w:rsidR="00FA0634" w:rsidRPr="00DB20AD" w:rsidRDefault="00FA0634" w:rsidP="00DB20AD">
            <w:pPr>
              <w:pStyle w:val="BodyText"/>
              <w:kinsoku w:val="0"/>
              <w:overflowPunct w:val="0"/>
            </w:pPr>
            <w:r w:rsidRPr="00DB20AD">
              <w:t>Measured as total workers compensation costs per 100 FTE employees.</w:t>
            </w:r>
          </w:p>
        </w:tc>
        <w:tc>
          <w:tcPr>
            <w:tcW w:w="1414" w:type="dxa"/>
            <w:tcBorders>
              <w:top w:val="nil"/>
              <w:left w:val="nil"/>
              <w:bottom w:val="single" w:sz="8" w:space="0" w:color="auto"/>
              <w:right w:val="single" w:sz="8" w:space="0" w:color="auto"/>
            </w:tcBorders>
            <w:tcMar>
              <w:top w:w="0" w:type="dxa"/>
              <w:left w:w="108" w:type="dxa"/>
              <w:bottom w:w="0" w:type="dxa"/>
              <w:right w:w="108" w:type="dxa"/>
            </w:tcMar>
            <w:hideMark/>
          </w:tcPr>
          <w:p w14:paraId="21CC1B2E" w14:textId="77777777" w:rsidR="00FA0634" w:rsidRPr="00AC4E6C" w:rsidRDefault="00FA0634" w:rsidP="00DB20AD">
            <w:pPr>
              <w:pStyle w:val="BodyText"/>
              <w:kinsoku w:val="0"/>
              <w:overflowPunct w:val="0"/>
              <w:rPr>
                <w:b/>
                <w:bCs/>
              </w:rPr>
            </w:pPr>
            <w:r w:rsidRPr="00AC4E6C">
              <w:rPr>
                <w:b/>
                <w:bCs/>
                <w:color w:val="FF0000"/>
              </w:rPr>
              <w:t>$20018</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E3B67A3" w14:textId="77777777" w:rsidR="00FA0634" w:rsidRPr="00DB20AD" w:rsidRDefault="00FA0634" w:rsidP="00DB20AD">
            <w:pPr>
              <w:pStyle w:val="BodyText"/>
              <w:kinsoku w:val="0"/>
              <w:overflowPunct w:val="0"/>
            </w:pPr>
            <w:r w:rsidRPr="00DB20AD">
              <w:t>$10526</w:t>
            </w:r>
          </w:p>
        </w:tc>
        <w:tc>
          <w:tcPr>
            <w:tcW w:w="9214" w:type="dxa"/>
            <w:tcBorders>
              <w:top w:val="nil"/>
              <w:left w:val="nil"/>
              <w:bottom w:val="single" w:sz="8" w:space="0" w:color="auto"/>
              <w:right w:val="single" w:sz="8" w:space="0" w:color="auto"/>
            </w:tcBorders>
            <w:tcMar>
              <w:top w:w="0" w:type="dxa"/>
              <w:left w:w="108" w:type="dxa"/>
              <w:bottom w:w="0" w:type="dxa"/>
              <w:right w:w="108" w:type="dxa"/>
            </w:tcMar>
            <w:hideMark/>
          </w:tcPr>
          <w:p w14:paraId="3803AD56" w14:textId="77777777" w:rsidR="00FA0634" w:rsidRPr="00DB20AD" w:rsidRDefault="00FA0634" w:rsidP="00DB20AD">
            <w:pPr>
              <w:pStyle w:val="BodyText"/>
              <w:kinsoku w:val="0"/>
              <w:overflowPunct w:val="0"/>
            </w:pPr>
            <w:r w:rsidRPr="00DB20AD">
              <w:t>ACU’s cost ratio of $20018 is almost double the sector average at $10526 and puts ACU in the top quartile (and between the 75th and 90th percentiles). Based on rising premiums and an increase in numbers of complex claims, it is expected this this will rise further in future years.</w:t>
            </w:r>
          </w:p>
        </w:tc>
      </w:tr>
      <w:tr w:rsidR="00FA0634" w:rsidRPr="00EE29DC" w14:paraId="41779C83" w14:textId="77777777" w:rsidTr="00B84F0D">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DA0C2" w14:textId="77777777" w:rsidR="00FA0634" w:rsidRPr="00DB20AD" w:rsidRDefault="00FA0634" w:rsidP="00DB20AD">
            <w:pPr>
              <w:pStyle w:val="BodyText"/>
              <w:kinsoku w:val="0"/>
              <w:overflowPunct w:val="0"/>
            </w:pPr>
            <w:r w:rsidRPr="00DB20AD">
              <w:t>Lost Time Rate – Days Lost</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6B1CE919" w14:textId="77777777" w:rsidR="00FA0634" w:rsidRPr="00DB20AD" w:rsidRDefault="00FA0634" w:rsidP="00DB20AD">
            <w:pPr>
              <w:pStyle w:val="BodyText"/>
              <w:kinsoku w:val="0"/>
              <w:overflowPunct w:val="0"/>
            </w:pPr>
            <w:r w:rsidRPr="00DB20AD">
              <w:t>Measured as days lost involving workers compensation per 100 FTE.</w:t>
            </w:r>
          </w:p>
        </w:tc>
        <w:tc>
          <w:tcPr>
            <w:tcW w:w="1414" w:type="dxa"/>
            <w:tcBorders>
              <w:top w:val="nil"/>
              <w:left w:val="nil"/>
              <w:bottom w:val="single" w:sz="8" w:space="0" w:color="auto"/>
              <w:right w:val="single" w:sz="8" w:space="0" w:color="auto"/>
            </w:tcBorders>
            <w:tcMar>
              <w:top w:w="0" w:type="dxa"/>
              <w:left w:w="108" w:type="dxa"/>
              <w:bottom w:w="0" w:type="dxa"/>
              <w:right w:w="108" w:type="dxa"/>
            </w:tcMar>
            <w:hideMark/>
          </w:tcPr>
          <w:p w14:paraId="4F275C41" w14:textId="77777777" w:rsidR="00FA0634" w:rsidRPr="00AC4E6C" w:rsidRDefault="00FA0634" w:rsidP="00DB20AD">
            <w:pPr>
              <w:pStyle w:val="BodyText"/>
              <w:kinsoku w:val="0"/>
              <w:overflowPunct w:val="0"/>
              <w:rPr>
                <w:b/>
                <w:bCs/>
              </w:rPr>
            </w:pPr>
            <w:r w:rsidRPr="00AC4E6C">
              <w:rPr>
                <w:b/>
                <w:bCs/>
                <w:color w:val="FF0000"/>
              </w:rPr>
              <w:t>43.09</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40AFA2A" w14:textId="77777777" w:rsidR="00FA0634" w:rsidRPr="00DB20AD" w:rsidRDefault="00FA0634" w:rsidP="00DB20AD">
            <w:pPr>
              <w:pStyle w:val="BodyText"/>
              <w:kinsoku w:val="0"/>
              <w:overflowPunct w:val="0"/>
            </w:pPr>
            <w:r w:rsidRPr="00DB20AD">
              <w:t>19.09</w:t>
            </w:r>
          </w:p>
        </w:tc>
        <w:tc>
          <w:tcPr>
            <w:tcW w:w="9214" w:type="dxa"/>
            <w:tcBorders>
              <w:top w:val="nil"/>
              <w:left w:val="nil"/>
              <w:bottom w:val="single" w:sz="8" w:space="0" w:color="auto"/>
              <w:right w:val="single" w:sz="8" w:space="0" w:color="auto"/>
            </w:tcBorders>
            <w:tcMar>
              <w:top w:w="0" w:type="dxa"/>
              <w:left w:w="108" w:type="dxa"/>
              <w:bottom w:w="0" w:type="dxa"/>
              <w:right w:w="108" w:type="dxa"/>
            </w:tcMar>
            <w:hideMark/>
          </w:tcPr>
          <w:p w14:paraId="242BDADA" w14:textId="77777777" w:rsidR="00FA0634" w:rsidRPr="00DB20AD" w:rsidRDefault="00FA0634" w:rsidP="00DB20AD">
            <w:pPr>
              <w:pStyle w:val="BodyText"/>
              <w:kinsoku w:val="0"/>
              <w:overflowPunct w:val="0"/>
            </w:pPr>
            <w:r w:rsidRPr="00DB20AD">
              <w:t>ACU’s ratio of 43.09 is a dramatic escalation from previous years and is more than double the sector average of 18.09; this puts ACU in the top quartile (and between the 90th and 100th percentiles).  This is driven largely by psychological illness claims, which we know take considerably longer than physical claims to resolve.</w:t>
            </w:r>
          </w:p>
        </w:tc>
      </w:tr>
      <w:tr w:rsidR="00FA0634" w:rsidRPr="00EE29DC" w14:paraId="5410D971" w14:textId="77777777" w:rsidTr="00B84F0D">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BC13BA" w14:textId="77777777" w:rsidR="00FA0634" w:rsidRPr="00DB20AD" w:rsidRDefault="00FA0634" w:rsidP="00DB20AD">
            <w:pPr>
              <w:pStyle w:val="BodyText"/>
              <w:kinsoku w:val="0"/>
              <w:overflowPunct w:val="0"/>
            </w:pPr>
            <w:r w:rsidRPr="00DB20AD">
              <w:t xml:space="preserve">Lost Time Incidence Rate </w:t>
            </w:r>
          </w:p>
          <w:p w14:paraId="5E4D7AA5" w14:textId="77777777" w:rsidR="00FA0634" w:rsidRPr="00DB20AD" w:rsidRDefault="00FA0634" w:rsidP="00DB20AD">
            <w:pPr>
              <w:pStyle w:val="BodyText"/>
              <w:kinsoku w:val="0"/>
              <w:overflowPunct w:val="0"/>
            </w:pP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5D66EEFF" w14:textId="77777777" w:rsidR="00FA0634" w:rsidRPr="00DB20AD" w:rsidRDefault="00FA0634" w:rsidP="00DB20AD">
            <w:pPr>
              <w:pStyle w:val="BodyText"/>
              <w:kinsoku w:val="0"/>
              <w:overflowPunct w:val="0"/>
            </w:pPr>
            <w:r w:rsidRPr="00DB20AD">
              <w:t>Measured as number of LTIs per 100 FTEs (a different denominator to the calculation for LTIFR used for internal reporting).</w:t>
            </w:r>
          </w:p>
        </w:tc>
        <w:tc>
          <w:tcPr>
            <w:tcW w:w="1414" w:type="dxa"/>
            <w:tcBorders>
              <w:top w:val="nil"/>
              <w:left w:val="nil"/>
              <w:bottom w:val="single" w:sz="8" w:space="0" w:color="auto"/>
              <w:right w:val="single" w:sz="8" w:space="0" w:color="auto"/>
            </w:tcBorders>
            <w:tcMar>
              <w:top w:w="0" w:type="dxa"/>
              <w:left w:w="108" w:type="dxa"/>
              <w:bottom w:w="0" w:type="dxa"/>
              <w:right w:w="108" w:type="dxa"/>
            </w:tcMar>
            <w:hideMark/>
          </w:tcPr>
          <w:p w14:paraId="50EB8B6C" w14:textId="77777777" w:rsidR="00FA0634" w:rsidRPr="00AC4E6C" w:rsidRDefault="00FA0634" w:rsidP="00DB20AD">
            <w:pPr>
              <w:pStyle w:val="BodyText"/>
              <w:kinsoku w:val="0"/>
              <w:overflowPunct w:val="0"/>
              <w:rPr>
                <w:b/>
                <w:bCs/>
              </w:rPr>
            </w:pPr>
            <w:r w:rsidRPr="00AC4E6C">
              <w:rPr>
                <w:b/>
                <w:bCs/>
                <w:color w:val="FF0000"/>
              </w:rPr>
              <w:t>0.37</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77507F74" w14:textId="77777777" w:rsidR="00FA0634" w:rsidRPr="00DB20AD" w:rsidRDefault="00FA0634" w:rsidP="00DB20AD">
            <w:pPr>
              <w:pStyle w:val="BodyText"/>
              <w:kinsoku w:val="0"/>
              <w:overflowPunct w:val="0"/>
            </w:pPr>
            <w:r w:rsidRPr="00DB20AD">
              <w:t>0.30</w:t>
            </w:r>
          </w:p>
        </w:tc>
        <w:tc>
          <w:tcPr>
            <w:tcW w:w="9214" w:type="dxa"/>
            <w:tcBorders>
              <w:top w:val="nil"/>
              <w:left w:val="nil"/>
              <w:bottom w:val="single" w:sz="8" w:space="0" w:color="auto"/>
              <w:right w:val="single" w:sz="8" w:space="0" w:color="auto"/>
            </w:tcBorders>
            <w:tcMar>
              <w:top w:w="0" w:type="dxa"/>
              <w:left w:w="108" w:type="dxa"/>
              <w:bottom w:w="0" w:type="dxa"/>
              <w:right w:w="108" w:type="dxa"/>
            </w:tcMar>
            <w:hideMark/>
          </w:tcPr>
          <w:p w14:paraId="66368172" w14:textId="77777777" w:rsidR="00FA0634" w:rsidRPr="00DB20AD" w:rsidRDefault="00FA0634" w:rsidP="00DB20AD">
            <w:pPr>
              <w:pStyle w:val="BodyText"/>
              <w:kinsoku w:val="0"/>
              <w:overflowPunct w:val="0"/>
            </w:pPr>
            <w:r w:rsidRPr="00DB20AD">
              <w:t>ACU’s LTI rate of 0.37 is ~20% higher than the sector average at 0.3 and puts CU in the 3rd quartile between the 50th and 75th percentiles.</w:t>
            </w:r>
          </w:p>
        </w:tc>
      </w:tr>
      <w:tr w:rsidR="00FA0634" w:rsidRPr="00EE29DC" w14:paraId="0F74E5C8" w14:textId="77777777" w:rsidTr="00B84F0D">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729487" w14:textId="77777777" w:rsidR="00FA0634" w:rsidRPr="00DB20AD" w:rsidRDefault="00FA0634" w:rsidP="00DB20AD">
            <w:pPr>
              <w:pStyle w:val="BodyText"/>
              <w:kinsoku w:val="0"/>
              <w:overflowPunct w:val="0"/>
            </w:pPr>
            <w:r w:rsidRPr="00DB20AD">
              <w:t xml:space="preserve">Musculoskeletal Claim Rate </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37B8B5AB" w14:textId="77777777" w:rsidR="00FA0634" w:rsidRPr="00DB20AD" w:rsidRDefault="00FA0634" w:rsidP="00DB20AD">
            <w:pPr>
              <w:pStyle w:val="BodyText"/>
              <w:kinsoku w:val="0"/>
              <w:overflowPunct w:val="0"/>
            </w:pPr>
            <w:r w:rsidRPr="00DB20AD">
              <w:t>Measured as the number of musculoskeletal claims per 100 FTE.</w:t>
            </w:r>
          </w:p>
        </w:tc>
        <w:tc>
          <w:tcPr>
            <w:tcW w:w="1414" w:type="dxa"/>
            <w:tcBorders>
              <w:top w:val="nil"/>
              <w:left w:val="nil"/>
              <w:bottom w:val="single" w:sz="8" w:space="0" w:color="auto"/>
              <w:right w:val="single" w:sz="8" w:space="0" w:color="auto"/>
            </w:tcBorders>
            <w:tcMar>
              <w:top w:w="0" w:type="dxa"/>
              <w:left w:w="108" w:type="dxa"/>
              <w:bottom w:w="0" w:type="dxa"/>
              <w:right w:w="108" w:type="dxa"/>
            </w:tcMar>
            <w:hideMark/>
          </w:tcPr>
          <w:p w14:paraId="441E248E" w14:textId="77777777" w:rsidR="00FA0634" w:rsidRPr="00DB20AD" w:rsidRDefault="00FA0634" w:rsidP="00DB20AD">
            <w:pPr>
              <w:pStyle w:val="BodyText"/>
              <w:kinsoku w:val="0"/>
              <w:overflowPunct w:val="0"/>
            </w:pPr>
            <w:r w:rsidRPr="00DB20AD">
              <w:t>0.21</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36D47B5" w14:textId="77777777" w:rsidR="00FA0634" w:rsidRPr="00DB20AD" w:rsidRDefault="00FA0634" w:rsidP="00DB20AD">
            <w:pPr>
              <w:pStyle w:val="BodyText"/>
              <w:kinsoku w:val="0"/>
              <w:overflowPunct w:val="0"/>
            </w:pPr>
            <w:r w:rsidRPr="00DB20AD">
              <w:t>0.45</w:t>
            </w:r>
          </w:p>
        </w:tc>
        <w:tc>
          <w:tcPr>
            <w:tcW w:w="9214" w:type="dxa"/>
            <w:tcBorders>
              <w:top w:val="nil"/>
              <w:left w:val="nil"/>
              <w:bottom w:val="single" w:sz="8" w:space="0" w:color="auto"/>
              <w:right w:val="single" w:sz="8" w:space="0" w:color="auto"/>
            </w:tcBorders>
            <w:tcMar>
              <w:top w:w="0" w:type="dxa"/>
              <w:left w:w="108" w:type="dxa"/>
              <w:bottom w:w="0" w:type="dxa"/>
              <w:right w:w="108" w:type="dxa"/>
            </w:tcMar>
            <w:hideMark/>
          </w:tcPr>
          <w:p w14:paraId="2264C8B7" w14:textId="77777777" w:rsidR="00FA0634" w:rsidRPr="00DB20AD" w:rsidRDefault="00FA0634" w:rsidP="00DB20AD">
            <w:pPr>
              <w:pStyle w:val="BodyText"/>
              <w:kinsoku w:val="0"/>
              <w:overflowPunct w:val="0"/>
            </w:pPr>
            <w:r w:rsidRPr="00DB20AD">
              <w:t xml:space="preserve">AU’s ratio at 0.21 is less than half the sector average of 0.45 and puts ACU in the 1st quartile.  A steady decline in ACU’s musculoskeletal claims rate over the past 4 surveys is apparent, which may reflect a previous focus and effort by former manager Tim Bruce and the team in reducing the </w:t>
            </w:r>
            <w:r w:rsidRPr="00DB20AD">
              <w:lastRenderedPageBreak/>
              <w:t>incidence of musculoskeletal injuries.  This is however offset by the rise in psychological illness (see below).</w:t>
            </w:r>
          </w:p>
        </w:tc>
      </w:tr>
      <w:tr w:rsidR="00FA0634" w:rsidRPr="00EE29DC" w14:paraId="121806E7" w14:textId="77777777" w:rsidTr="00B84F0D">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9FE035" w14:textId="77777777" w:rsidR="00FA0634" w:rsidRPr="00DB20AD" w:rsidRDefault="00FA0634" w:rsidP="00DB20AD">
            <w:pPr>
              <w:pStyle w:val="BodyText"/>
              <w:kinsoku w:val="0"/>
              <w:overflowPunct w:val="0"/>
            </w:pPr>
            <w:r w:rsidRPr="00DB20AD">
              <w:lastRenderedPageBreak/>
              <w:t xml:space="preserve">Notification Rate </w:t>
            </w:r>
          </w:p>
          <w:p w14:paraId="1A690DB9" w14:textId="77777777" w:rsidR="00FA0634" w:rsidRPr="00DB20AD" w:rsidRDefault="00FA0634" w:rsidP="00DB20AD">
            <w:pPr>
              <w:pStyle w:val="BodyText"/>
              <w:kinsoku w:val="0"/>
              <w:overflowPunct w:val="0"/>
            </w:pP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4B403C16" w14:textId="77777777" w:rsidR="00FA0634" w:rsidRPr="00DB20AD" w:rsidRDefault="00FA0634" w:rsidP="00DB20AD">
            <w:pPr>
              <w:pStyle w:val="BodyText"/>
              <w:kinsoku w:val="0"/>
              <w:overflowPunct w:val="0"/>
            </w:pPr>
            <w:r w:rsidRPr="00DB20AD">
              <w:t>Measured as the number of notifiable incidents to WHS regulators per 100 FTEs</w:t>
            </w:r>
          </w:p>
        </w:tc>
        <w:tc>
          <w:tcPr>
            <w:tcW w:w="1414" w:type="dxa"/>
            <w:tcBorders>
              <w:top w:val="nil"/>
              <w:left w:val="nil"/>
              <w:bottom w:val="single" w:sz="8" w:space="0" w:color="auto"/>
              <w:right w:val="single" w:sz="8" w:space="0" w:color="auto"/>
            </w:tcBorders>
            <w:tcMar>
              <w:top w:w="0" w:type="dxa"/>
              <w:left w:w="108" w:type="dxa"/>
              <w:bottom w:w="0" w:type="dxa"/>
              <w:right w:w="108" w:type="dxa"/>
            </w:tcMar>
            <w:hideMark/>
          </w:tcPr>
          <w:p w14:paraId="7A4DF593" w14:textId="77777777" w:rsidR="00FA0634" w:rsidRPr="00DB20AD" w:rsidRDefault="00FA0634" w:rsidP="00DB20AD">
            <w:pPr>
              <w:pStyle w:val="BodyText"/>
              <w:kinsoku w:val="0"/>
              <w:overflowPunct w:val="0"/>
            </w:pPr>
            <w:r w:rsidRPr="00DB20AD">
              <w:t>0.21</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BD30396" w14:textId="77777777" w:rsidR="00FA0634" w:rsidRPr="00DB20AD" w:rsidRDefault="00FA0634" w:rsidP="00DB20AD">
            <w:pPr>
              <w:pStyle w:val="BodyText"/>
              <w:kinsoku w:val="0"/>
              <w:overflowPunct w:val="0"/>
            </w:pPr>
            <w:r w:rsidRPr="00DB20AD">
              <w:t>1.09</w:t>
            </w:r>
          </w:p>
        </w:tc>
        <w:tc>
          <w:tcPr>
            <w:tcW w:w="9214" w:type="dxa"/>
            <w:tcBorders>
              <w:top w:val="nil"/>
              <w:left w:val="nil"/>
              <w:bottom w:val="single" w:sz="8" w:space="0" w:color="auto"/>
              <w:right w:val="single" w:sz="8" w:space="0" w:color="auto"/>
            </w:tcBorders>
            <w:tcMar>
              <w:top w:w="0" w:type="dxa"/>
              <w:left w:w="108" w:type="dxa"/>
              <w:bottom w:w="0" w:type="dxa"/>
              <w:right w:w="108" w:type="dxa"/>
            </w:tcMar>
            <w:hideMark/>
          </w:tcPr>
          <w:p w14:paraId="093D5CA6" w14:textId="77777777" w:rsidR="00FA0634" w:rsidRPr="00DB20AD" w:rsidRDefault="00FA0634" w:rsidP="00DB20AD">
            <w:pPr>
              <w:pStyle w:val="BodyText"/>
              <w:kinsoku w:val="0"/>
              <w:overflowPunct w:val="0"/>
            </w:pPr>
            <w:r w:rsidRPr="00DB20AD">
              <w:t>This is pleasingly low for ACU (0.21) compared to the sector average of 1.09. (ACU has had only a single notifiable incident YTD (where the staff member broke their foot outside TWH and was hospitalised for a considerable period)).</w:t>
            </w:r>
          </w:p>
        </w:tc>
      </w:tr>
      <w:tr w:rsidR="00FA0634" w:rsidRPr="00EE29DC" w14:paraId="07F45CB7" w14:textId="77777777" w:rsidTr="00B84F0D">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CD810B" w14:textId="77777777" w:rsidR="00FA0634" w:rsidRPr="00DB20AD" w:rsidRDefault="00FA0634" w:rsidP="00DB20AD">
            <w:pPr>
              <w:pStyle w:val="BodyText"/>
              <w:kinsoku w:val="0"/>
              <w:overflowPunct w:val="0"/>
            </w:pPr>
            <w:r w:rsidRPr="00DB20AD">
              <w:t>Psychological Claim Rate</w:t>
            </w:r>
          </w:p>
          <w:p w14:paraId="6CDC5484" w14:textId="77777777" w:rsidR="00FA0634" w:rsidRPr="00DB20AD" w:rsidRDefault="00FA0634" w:rsidP="00DB20AD">
            <w:pPr>
              <w:pStyle w:val="BodyText"/>
              <w:kinsoku w:val="0"/>
              <w:overflowPunct w:val="0"/>
            </w:pP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5BA33DC5" w14:textId="77777777" w:rsidR="00FA0634" w:rsidRPr="00DB20AD" w:rsidRDefault="00FA0634" w:rsidP="00DB20AD">
            <w:pPr>
              <w:pStyle w:val="BodyText"/>
              <w:kinsoku w:val="0"/>
              <w:overflowPunct w:val="0"/>
            </w:pPr>
            <w:r w:rsidRPr="00DB20AD">
              <w:t>Measured as the number of psychological claims per 100 FTE.</w:t>
            </w:r>
          </w:p>
        </w:tc>
        <w:tc>
          <w:tcPr>
            <w:tcW w:w="1414" w:type="dxa"/>
            <w:tcBorders>
              <w:top w:val="nil"/>
              <w:left w:val="nil"/>
              <w:bottom w:val="single" w:sz="8" w:space="0" w:color="auto"/>
              <w:right w:val="single" w:sz="8" w:space="0" w:color="auto"/>
            </w:tcBorders>
            <w:tcMar>
              <w:top w:w="0" w:type="dxa"/>
              <w:left w:w="108" w:type="dxa"/>
              <w:bottom w:w="0" w:type="dxa"/>
              <w:right w:w="108" w:type="dxa"/>
            </w:tcMar>
            <w:hideMark/>
          </w:tcPr>
          <w:p w14:paraId="2085851C" w14:textId="77777777" w:rsidR="00FA0634" w:rsidRPr="00AC4E6C" w:rsidRDefault="00FA0634" w:rsidP="00DB20AD">
            <w:pPr>
              <w:pStyle w:val="BodyText"/>
              <w:kinsoku w:val="0"/>
              <w:overflowPunct w:val="0"/>
              <w:rPr>
                <w:b/>
                <w:bCs/>
              </w:rPr>
            </w:pPr>
            <w:r w:rsidRPr="00AC4E6C">
              <w:rPr>
                <w:b/>
                <w:bCs/>
                <w:color w:val="FF0000"/>
              </w:rPr>
              <w:t>0.33</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D505525" w14:textId="77777777" w:rsidR="00FA0634" w:rsidRPr="00DB20AD" w:rsidRDefault="00FA0634" w:rsidP="00DB20AD">
            <w:pPr>
              <w:pStyle w:val="BodyText"/>
              <w:kinsoku w:val="0"/>
              <w:overflowPunct w:val="0"/>
            </w:pPr>
            <w:r w:rsidRPr="00DB20AD">
              <w:t>0.15</w:t>
            </w:r>
          </w:p>
        </w:tc>
        <w:tc>
          <w:tcPr>
            <w:tcW w:w="9214" w:type="dxa"/>
            <w:tcBorders>
              <w:top w:val="nil"/>
              <w:left w:val="nil"/>
              <w:bottom w:val="single" w:sz="8" w:space="0" w:color="auto"/>
              <w:right w:val="single" w:sz="8" w:space="0" w:color="auto"/>
            </w:tcBorders>
            <w:tcMar>
              <w:top w:w="0" w:type="dxa"/>
              <w:left w:w="108" w:type="dxa"/>
              <w:bottom w:w="0" w:type="dxa"/>
              <w:right w:w="108" w:type="dxa"/>
            </w:tcMar>
            <w:hideMark/>
          </w:tcPr>
          <w:p w14:paraId="4DDF3B57" w14:textId="77777777" w:rsidR="00FA0634" w:rsidRPr="00DB20AD" w:rsidRDefault="00FA0634" w:rsidP="00DB20AD">
            <w:pPr>
              <w:pStyle w:val="BodyText"/>
              <w:kinsoku w:val="0"/>
              <w:overflowPunct w:val="0"/>
            </w:pPr>
            <w:r w:rsidRPr="00DB20AD">
              <w:t xml:space="preserve">AU’s ratio at 0.33 is more than double the sector average at 0.15 and puts ACU in the top quartile and between the 75th and 90th percentiles.  </w:t>
            </w:r>
          </w:p>
        </w:tc>
      </w:tr>
      <w:tr w:rsidR="00FA0634" w:rsidRPr="00EE29DC" w14:paraId="0CCFA93A" w14:textId="77777777" w:rsidTr="00B84F0D">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957F5E" w14:textId="77777777" w:rsidR="00FA0634" w:rsidRPr="00DB20AD" w:rsidRDefault="00FA0634" w:rsidP="00DB20AD">
            <w:pPr>
              <w:pStyle w:val="BodyText"/>
              <w:kinsoku w:val="0"/>
              <w:overflowPunct w:val="0"/>
            </w:pPr>
            <w:r w:rsidRPr="00DB20AD">
              <w:t>Injury Report Rate</w:t>
            </w:r>
          </w:p>
          <w:p w14:paraId="36441D67" w14:textId="77777777" w:rsidR="00FA0634" w:rsidRPr="00DB20AD" w:rsidRDefault="00FA0634" w:rsidP="00DB20AD">
            <w:pPr>
              <w:pStyle w:val="BodyText"/>
              <w:kinsoku w:val="0"/>
              <w:overflowPunct w:val="0"/>
            </w:pP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6E28D39A" w14:textId="77777777" w:rsidR="00FA0634" w:rsidRPr="00DB20AD" w:rsidRDefault="00FA0634" w:rsidP="00DB20AD">
            <w:pPr>
              <w:pStyle w:val="BodyText"/>
              <w:kinsoku w:val="0"/>
              <w:overflowPunct w:val="0"/>
            </w:pPr>
            <w:r w:rsidRPr="00DB20AD">
              <w:t>Measured as the number of injury reports from staff members per 100 FTE.</w:t>
            </w:r>
          </w:p>
        </w:tc>
        <w:tc>
          <w:tcPr>
            <w:tcW w:w="1414" w:type="dxa"/>
            <w:tcBorders>
              <w:top w:val="nil"/>
              <w:left w:val="nil"/>
              <w:bottom w:val="single" w:sz="8" w:space="0" w:color="auto"/>
              <w:right w:val="single" w:sz="8" w:space="0" w:color="auto"/>
            </w:tcBorders>
            <w:tcMar>
              <w:top w:w="0" w:type="dxa"/>
              <w:left w:w="108" w:type="dxa"/>
              <w:bottom w:w="0" w:type="dxa"/>
              <w:right w:w="108" w:type="dxa"/>
            </w:tcMar>
            <w:hideMark/>
          </w:tcPr>
          <w:p w14:paraId="2F4ABD52" w14:textId="77777777" w:rsidR="00FA0634" w:rsidRPr="00DB20AD" w:rsidRDefault="00FA0634" w:rsidP="00DB20AD">
            <w:pPr>
              <w:pStyle w:val="BodyText"/>
              <w:kinsoku w:val="0"/>
              <w:overflowPunct w:val="0"/>
            </w:pPr>
            <w:r w:rsidRPr="00DB20AD">
              <w:t>2.19</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14DCEB9" w14:textId="77777777" w:rsidR="00FA0634" w:rsidRPr="00DB20AD" w:rsidRDefault="00FA0634" w:rsidP="00DB20AD">
            <w:pPr>
              <w:pStyle w:val="BodyText"/>
              <w:kinsoku w:val="0"/>
              <w:overflowPunct w:val="0"/>
            </w:pPr>
            <w:r w:rsidRPr="00DB20AD">
              <w:t>3.02</w:t>
            </w:r>
          </w:p>
        </w:tc>
        <w:tc>
          <w:tcPr>
            <w:tcW w:w="9214" w:type="dxa"/>
            <w:tcBorders>
              <w:top w:val="nil"/>
              <w:left w:val="nil"/>
              <w:bottom w:val="single" w:sz="8" w:space="0" w:color="auto"/>
              <w:right w:val="single" w:sz="8" w:space="0" w:color="auto"/>
            </w:tcBorders>
            <w:tcMar>
              <w:top w:w="0" w:type="dxa"/>
              <w:left w:w="108" w:type="dxa"/>
              <w:bottom w:w="0" w:type="dxa"/>
              <w:right w:w="108" w:type="dxa"/>
            </w:tcMar>
            <w:hideMark/>
          </w:tcPr>
          <w:p w14:paraId="01008A8B" w14:textId="77777777" w:rsidR="00FA0634" w:rsidRPr="00DB20AD" w:rsidRDefault="00FA0634" w:rsidP="00DB20AD">
            <w:pPr>
              <w:pStyle w:val="BodyText"/>
              <w:kinsoku w:val="0"/>
              <w:overflowPunct w:val="0"/>
            </w:pPr>
            <w:r w:rsidRPr="00DB20AD">
              <w:t>ACU’s rate of 2.19 is below the sector average of 3.02.  However, the commentary in the AHEAI report notes that “Unlike the earlier indicators a high rate may indicate a high level of awareness and commitment to WH&amp;S. An effective injury reporting program is the foundation of an effective injury prevention and management program. A low rate may reflect low levels of WH&amp;S awareness and involvement and possibly an indifference to minor injuries in the workplace”.  Based on anecdotal feedback around reluctance to report incidents and hazards for fear of repercussions (or inaction), or even lack of awareness as to how to report these, Safety &amp; Wellbeing suspect that injuries and hazards may be being under-reported at ACU.</w:t>
            </w:r>
          </w:p>
        </w:tc>
      </w:tr>
      <w:tr w:rsidR="00FA0634" w:rsidRPr="00EE29DC" w14:paraId="7A0AF192" w14:textId="77777777" w:rsidTr="00B84F0D">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9BC86D" w14:textId="77777777" w:rsidR="00FA0634" w:rsidRPr="00DB20AD" w:rsidRDefault="00FA0634" w:rsidP="00DB20AD">
            <w:pPr>
              <w:pStyle w:val="BodyText"/>
              <w:kinsoku w:val="0"/>
              <w:overflowPunct w:val="0"/>
            </w:pPr>
            <w:r w:rsidRPr="00DB20AD">
              <w:t>Return to Work Time:</w:t>
            </w:r>
          </w:p>
          <w:p w14:paraId="1464BEFA" w14:textId="77777777" w:rsidR="00FA0634" w:rsidRPr="00DB20AD" w:rsidRDefault="00FA0634" w:rsidP="00DB20AD">
            <w:pPr>
              <w:pStyle w:val="BodyText"/>
              <w:kinsoku w:val="0"/>
              <w:overflowPunct w:val="0"/>
            </w:pP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77FF2F95" w14:textId="77777777" w:rsidR="00FA0634" w:rsidRPr="00DB20AD" w:rsidRDefault="00FA0634" w:rsidP="00DB20AD">
            <w:pPr>
              <w:pStyle w:val="BodyText"/>
              <w:kinsoku w:val="0"/>
              <w:overflowPunct w:val="0"/>
            </w:pPr>
            <w:r w:rsidRPr="00DB20AD">
              <w:t>measured as the median time in days for employees to first return to work after a work-related injury,</w:t>
            </w:r>
          </w:p>
        </w:tc>
        <w:tc>
          <w:tcPr>
            <w:tcW w:w="1414" w:type="dxa"/>
            <w:tcBorders>
              <w:top w:val="nil"/>
              <w:left w:val="nil"/>
              <w:bottom w:val="single" w:sz="8" w:space="0" w:color="auto"/>
              <w:right w:val="single" w:sz="8" w:space="0" w:color="auto"/>
            </w:tcBorders>
            <w:tcMar>
              <w:top w:w="0" w:type="dxa"/>
              <w:left w:w="108" w:type="dxa"/>
              <w:bottom w:w="0" w:type="dxa"/>
              <w:right w:w="108" w:type="dxa"/>
            </w:tcMar>
            <w:hideMark/>
          </w:tcPr>
          <w:p w14:paraId="13D15683" w14:textId="77777777" w:rsidR="00FA0634" w:rsidRPr="00DB20AD" w:rsidRDefault="00FA0634" w:rsidP="00DB20AD">
            <w:pPr>
              <w:pStyle w:val="BodyText"/>
              <w:kinsoku w:val="0"/>
              <w:overflowPunct w:val="0"/>
            </w:pPr>
            <w:r w:rsidRPr="00DB20AD">
              <w:t>26.6</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0F0A6B2" w14:textId="77777777" w:rsidR="00FA0634" w:rsidRPr="00DB20AD" w:rsidRDefault="00FA0634" w:rsidP="00DB20AD">
            <w:pPr>
              <w:pStyle w:val="BodyText"/>
              <w:kinsoku w:val="0"/>
              <w:overflowPunct w:val="0"/>
            </w:pPr>
            <w:r w:rsidRPr="00DB20AD">
              <w:t>62.36</w:t>
            </w:r>
          </w:p>
        </w:tc>
        <w:tc>
          <w:tcPr>
            <w:tcW w:w="9214" w:type="dxa"/>
            <w:tcBorders>
              <w:top w:val="nil"/>
              <w:left w:val="nil"/>
              <w:bottom w:val="single" w:sz="8" w:space="0" w:color="auto"/>
              <w:right w:val="single" w:sz="8" w:space="0" w:color="auto"/>
            </w:tcBorders>
            <w:tcMar>
              <w:top w:w="0" w:type="dxa"/>
              <w:left w:w="108" w:type="dxa"/>
              <w:bottom w:w="0" w:type="dxa"/>
              <w:right w:w="108" w:type="dxa"/>
            </w:tcMar>
            <w:hideMark/>
          </w:tcPr>
          <w:p w14:paraId="0B37E2F8" w14:textId="0827BC39" w:rsidR="00FA0634" w:rsidRPr="00DB20AD" w:rsidRDefault="00FA0634" w:rsidP="00DB20AD">
            <w:pPr>
              <w:pStyle w:val="BodyText"/>
              <w:kinsoku w:val="0"/>
              <w:overflowPunct w:val="0"/>
            </w:pPr>
            <w:r w:rsidRPr="00DB20AD">
              <w:t>ACU’s performance as reported here for 2022 at 26.6 days, is less than half the sector average (62.36)</w:t>
            </w:r>
            <w:r w:rsidR="00AC4E6C">
              <w:t xml:space="preserve"> </w:t>
            </w:r>
            <w:r w:rsidRPr="00DB20AD">
              <w:t xml:space="preserve">and puts ACU in the third quartile but very close to the 50th percentile.  Interestingly, the sector data is skewed by a maximum (100th) percentile measure of 465 days, possibly representing </w:t>
            </w:r>
            <w:proofErr w:type="gramStart"/>
            <w:r w:rsidRPr="00DB20AD">
              <w:t>a number of</w:t>
            </w:r>
            <w:proofErr w:type="gramEnd"/>
            <w:r w:rsidRPr="00DB20AD">
              <w:t xml:space="preserve"> long-term psychological illnesses. Certainly, for ACU this equivalent measure in 2023 will be adversely impacted by a growing number of long-term current psychological illness claims.</w:t>
            </w:r>
          </w:p>
        </w:tc>
      </w:tr>
    </w:tbl>
    <w:p w14:paraId="2190AE1C" w14:textId="77777777" w:rsidR="005C5B4D" w:rsidRDefault="005C5B4D" w:rsidP="00DB20AD">
      <w:pPr>
        <w:pStyle w:val="BodyText"/>
        <w:kinsoku w:val="0"/>
        <w:overflowPunct w:val="0"/>
      </w:pPr>
    </w:p>
    <w:p w14:paraId="743DA875" w14:textId="3F2D1210" w:rsidR="005C5B4D" w:rsidRDefault="005C5B4D" w:rsidP="00DB20AD">
      <w:pPr>
        <w:pStyle w:val="BodyText"/>
        <w:kinsoku w:val="0"/>
        <w:overflowPunct w:val="0"/>
      </w:pPr>
      <w:r w:rsidRPr="005C5B4D">
        <w:rPr>
          <w:b/>
          <w:bCs/>
        </w:rPr>
        <w:t>(</w:t>
      </w:r>
      <w:r>
        <w:rPr>
          <w:b/>
          <w:bCs/>
        </w:rPr>
        <w:t>R</w:t>
      </w:r>
      <w:r w:rsidRPr="005C5B4D">
        <w:rPr>
          <w:b/>
          <w:bCs/>
        </w:rPr>
        <w:t xml:space="preserve">ed bold KPIs </w:t>
      </w:r>
      <w:r w:rsidR="00AC4E6C">
        <w:rPr>
          <w:b/>
          <w:bCs/>
        </w:rPr>
        <w:t xml:space="preserve">in Table 2 indicate </w:t>
      </w:r>
      <w:r>
        <w:rPr>
          <w:b/>
          <w:bCs/>
        </w:rPr>
        <w:t>those where ACU’s performance is worse than the sector).</w:t>
      </w:r>
    </w:p>
    <w:p w14:paraId="18B68665" w14:textId="77777777" w:rsidR="000D603E" w:rsidRPr="000739D3" w:rsidRDefault="000D603E" w:rsidP="00CD61CA">
      <w:pPr>
        <w:pStyle w:val="BodyText"/>
        <w:kinsoku w:val="0"/>
        <w:overflowPunct w:val="0"/>
        <w:spacing w:before="6"/>
      </w:pPr>
    </w:p>
    <w:p w14:paraId="59CBE420" w14:textId="3D9C4F0A" w:rsidR="004B72B8" w:rsidRDefault="000739D3" w:rsidP="007B6578">
      <w:pPr>
        <w:pStyle w:val="Heading1"/>
        <w:numPr>
          <w:ilvl w:val="0"/>
          <w:numId w:val="30"/>
        </w:numPr>
        <w:tabs>
          <w:tab w:val="left" w:pos="567"/>
          <w:tab w:val="left" w:pos="1134"/>
        </w:tabs>
        <w:kinsoku w:val="0"/>
        <w:overflowPunct w:val="0"/>
        <w:spacing w:before="1"/>
        <w:rPr>
          <w:color w:val="3E1B59"/>
        </w:rPr>
      </w:pPr>
      <w:r>
        <w:rPr>
          <w:color w:val="3E1B59"/>
        </w:rPr>
        <w:t xml:space="preserve">WHS </w:t>
      </w:r>
      <w:r w:rsidR="007B6578">
        <w:rPr>
          <w:color w:val="3E1B59"/>
        </w:rPr>
        <w:t>Achievements</w:t>
      </w:r>
    </w:p>
    <w:p w14:paraId="5CF72D13" w14:textId="11891A95" w:rsidR="00085680" w:rsidRDefault="00085680" w:rsidP="00085680"/>
    <w:p w14:paraId="52E59706" w14:textId="77777777" w:rsidR="00047F11" w:rsidRDefault="00047F11" w:rsidP="00047F11">
      <w:pPr>
        <w:spacing w:line="280" w:lineRule="exact"/>
        <w:rPr>
          <w:sz w:val="20"/>
          <w:szCs w:val="20"/>
        </w:rPr>
      </w:pPr>
      <w:r>
        <w:rPr>
          <w:sz w:val="20"/>
          <w:szCs w:val="20"/>
        </w:rPr>
        <w:t>WHS achievements are highlighted below:</w:t>
      </w:r>
    </w:p>
    <w:p w14:paraId="4CDFA1D6" w14:textId="77777777" w:rsidR="00047F11" w:rsidRDefault="00047F11" w:rsidP="00047F11">
      <w:pPr>
        <w:spacing w:line="280" w:lineRule="exact"/>
        <w:rPr>
          <w:sz w:val="20"/>
          <w:szCs w:val="20"/>
        </w:rPr>
      </w:pPr>
    </w:p>
    <w:p w14:paraId="5A5421DC" w14:textId="10E7EB49" w:rsidR="00047F11" w:rsidRPr="00687B08" w:rsidRDefault="00047F11" w:rsidP="00047F11">
      <w:pPr>
        <w:pStyle w:val="ListParagraph"/>
        <w:numPr>
          <w:ilvl w:val="0"/>
          <w:numId w:val="41"/>
        </w:numPr>
        <w:spacing w:line="280" w:lineRule="exact"/>
        <w:rPr>
          <w:sz w:val="20"/>
          <w:szCs w:val="20"/>
        </w:rPr>
      </w:pPr>
      <w:r>
        <w:rPr>
          <w:sz w:val="20"/>
          <w:szCs w:val="20"/>
        </w:rPr>
        <w:t xml:space="preserve">New arrangements </w:t>
      </w:r>
      <w:r w:rsidR="00A45593">
        <w:rPr>
          <w:sz w:val="20"/>
          <w:szCs w:val="20"/>
        </w:rPr>
        <w:t xml:space="preserve">were put </w:t>
      </w:r>
      <w:r>
        <w:rPr>
          <w:sz w:val="20"/>
          <w:szCs w:val="20"/>
        </w:rPr>
        <w:t xml:space="preserve">in place for </w:t>
      </w:r>
      <w:r w:rsidR="00AC4E6C">
        <w:rPr>
          <w:sz w:val="20"/>
          <w:szCs w:val="20"/>
        </w:rPr>
        <w:t xml:space="preserve">ACU’s </w:t>
      </w:r>
      <w:r>
        <w:rPr>
          <w:sz w:val="20"/>
          <w:szCs w:val="20"/>
        </w:rPr>
        <w:t xml:space="preserve">workers compensation </w:t>
      </w:r>
      <w:r w:rsidR="00AC4E6C">
        <w:rPr>
          <w:sz w:val="20"/>
          <w:szCs w:val="20"/>
        </w:rPr>
        <w:t xml:space="preserve">book </w:t>
      </w:r>
      <w:r>
        <w:rPr>
          <w:sz w:val="20"/>
          <w:szCs w:val="20"/>
        </w:rPr>
        <w:t>across all states and territories, apart from QLD and Victoria, due to withdrawal of CCI from the market at the end of June 2023.</w:t>
      </w:r>
    </w:p>
    <w:p w14:paraId="6496F73A" w14:textId="2C3A17E7" w:rsidR="00047F11" w:rsidRPr="009E6D3E" w:rsidRDefault="00047F11" w:rsidP="00047F11">
      <w:pPr>
        <w:pStyle w:val="ListParagraph"/>
        <w:numPr>
          <w:ilvl w:val="0"/>
          <w:numId w:val="40"/>
        </w:numPr>
        <w:spacing w:line="280" w:lineRule="exact"/>
        <w:rPr>
          <w:sz w:val="20"/>
          <w:szCs w:val="20"/>
        </w:rPr>
      </w:pPr>
      <w:r w:rsidRPr="009E6D3E">
        <w:rPr>
          <w:sz w:val="20"/>
          <w:szCs w:val="20"/>
        </w:rPr>
        <w:t xml:space="preserve">One WHS team members successfully completed </w:t>
      </w:r>
      <w:r w:rsidR="00394FB8" w:rsidRPr="009E6D3E">
        <w:rPr>
          <w:sz w:val="20"/>
          <w:szCs w:val="20"/>
        </w:rPr>
        <w:t>5-day</w:t>
      </w:r>
      <w:r w:rsidRPr="009E6D3E">
        <w:rPr>
          <w:sz w:val="20"/>
          <w:szCs w:val="20"/>
        </w:rPr>
        <w:t xml:space="preserve"> WHS Lead Auditor training course as a precursor to the commencement of the ACU WHS </w:t>
      </w:r>
      <w:r>
        <w:rPr>
          <w:sz w:val="20"/>
          <w:szCs w:val="20"/>
        </w:rPr>
        <w:t>I</w:t>
      </w:r>
      <w:r w:rsidRPr="009E6D3E">
        <w:rPr>
          <w:sz w:val="20"/>
          <w:szCs w:val="20"/>
        </w:rPr>
        <w:t>nternal Audit program</w:t>
      </w:r>
      <w:r>
        <w:rPr>
          <w:sz w:val="20"/>
          <w:szCs w:val="20"/>
        </w:rPr>
        <w:t xml:space="preserve"> in 2024</w:t>
      </w:r>
      <w:r w:rsidR="00AC4E6C">
        <w:rPr>
          <w:sz w:val="20"/>
          <w:szCs w:val="20"/>
        </w:rPr>
        <w:t>.</w:t>
      </w:r>
    </w:p>
    <w:p w14:paraId="0E9749BC" w14:textId="77777777" w:rsidR="00047F11" w:rsidRDefault="00047F11" w:rsidP="00047F11">
      <w:pPr>
        <w:pStyle w:val="ListParagraph"/>
        <w:numPr>
          <w:ilvl w:val="0"/>
          <w:numId w:val="40"/>
        </w:numPr>
        <w:spacing w:line="280" w:lineRule="exact"/>
        <w:rPr>
          <w:sz w:val="20"/>
          <w:szCs w:val="20"/>
        </w:rPr>
      </w:pPr>
      <w:r w:rsidRPr="009E6D3E">
        <w:rPr>
          <w:sz w:val="20"/>
          <w:szCs w:val="20"/>
        </w:rPr>
        <w:t>WHS Campus Committee meetings held on each campus</w:t>
      </w:r>
      <w:r>
        <w:rPr>
          <w:sz w:val="20"/>
          <w:szCs w:val="20"/>
        </w:rPr>
        <w:t xml:space="preserve"> </w:t>
      </w:r>
      <w:proofErr w:type="gramStart"/>
      <w:r>
        <w:rPr>
          <w:sz w:val="20"/>
          <w:szCs w:val="20"/>
        </w:rPr>
        <w:t>with the exception of</w:t>
      </w:r>
      <w:proofErr w:type="gramEnd"/>
      <w:r>
        <w:rPr>
          <w:sz w:val="20"/>
          <w:szCs w:val="20"/>
        </w:rPr>
        <w:t xml:space="preserve"> Blacktown, where a committee is in the process of being established.</w:t>
      </w:r>
      <w:r w:rsidRPr="009E6D3E">
        <w:rPr>
          <w:sz w:val="20"/>
          <w:szCs w:val="20"/>
        </w:rPr>
        <w:t xml:space="preserve"> </w:t>
      </w:r>
    </w:p>
    <w:p w14:paraId="3A5074B8" w14:textId="1718D029" w:rsidR="00047F11" w:rsidRPr="00AA59E4" w:rsidRDefault="00AC4E6C" w:rsidP="00047F11">
      <w:pPr>
        <w:pStyle w:val="ListParagraph"/>
        <w:numPr>
          <w:ilvl w:val="0"/>
          <w:numId w:val="39"/>
        </w:numPr>
        <w:spacing w:line="280" w:lineRule="exact"/>
        <w:rPr>
          <w:sz w:val="20"/>
          <w:szCs w:val="20"/>
        </w:rPr>
      </w:pPr>
      <w:r>
        <w:rPr>
          <w:sz w:val="20"/>
          <w:szCs w:val="20"/>
        </w:rPr>
        <w:t>A comprehensive g</w:t>
      </w:r>
      <w:r w:rsidR="00047F11" w:rsidRPr="00AA59E4">
        <w:rPr>
          <w:sz w:val="20"/>
          <w:szCs w:val="20"/>
        </w:rPr>
        <w:t xml:space="preserve">ap </w:t>
      </w:r>
      <w:r w:rsidR="00047F11">
        <w:rPr>
          <w:sz w:val="20"/>
          <w:szCs w:val="20"/>
        </w:rPr>
        <w:t>a</w:t>
      </w:r>
      <w:r w:rsidR="00047F11" w:rsidRPr="00AA59E4">
        <w:rPr>
          <w:sz w:val="20"/>
          <w:szCs w:val="20"/>
        </w:rPr>
        <w:t xml:space="preserve">nalysis </w:t>
      </w:r>
      <w:r w:rsidR="00047F11">
        <w:rPr>
          <w:sz w:val="20"/>
          <w:szCs w:val="20"/>
        </w:rPr>
        <w:t>of ACU processes and systems against new p</w:t>
      </w:r>
      <w:r w:rsidR="00047F11" w:rsidRPr="00AA59E4">
        <w:rPr>
          <w:sz w:val="20"/>
          <w:szCs w:val="20"/>
        </w:rPr>
        <w:t xml:space="preserve">sychosocial </w:t>
      </w:r>
      <w:r w:rsidR="00047F11">
        <w:rPr>
          <w:sz w:val="20"/>
          <w:szCs w:val="20"/>
        </w:rPr>
        <w:t>hazard r</w:t>
      </w:r>
      <w:r w:rsidR="00047F11" w:rsidRPr="00AA59E4">
        <w:rPr>
          <w:sz w:val="20"/>
          <w:szCs w:val="20"/>
        </w:rPr>
        <w:t xml:space="preserve">egulations </w:t>
      </w:r>
      <w:r>
        <w:rPr>
          <w:sz w:val="20"/>
          <w:szCs w:val="20"/>
        </w:rPr>
        <w:t xml:space="preserve">was </w:t>
      </w:r>
      <w:r w:rsidR="00047F11">
        <w:rPr>
          <w:sz w:val="20"/>
          <w:szCs w:val="20"/>
        </w:rPr>
        <w:t xml:space="preserve">completed and provided to </w:t>
      </w:r>
      <w:r>
        <w:rPr>
          <w:sz w:val="20"/>
          <w:szCs w:val="20"/>
        </w:rPr>
        <w:t xml:space="preserve">the </w:t>
      </w:r>
      <w:r w:rsidR="00047F11">
        <w:rPr>
          <w:sz w:val="20"/>
          <w:szCs w:val="20"/>
        </w:rPr>
        <w:t>CPO for review. Immediate next steps were agreed, including conduct of a psychosocial hazards survey with</w:t>
      </w:r>
      <w:r>
        <w:rPr>
          <w:sz w:val="20"/>
          <w:szCs w:val="20"/>
        </w:rPr>
        <w:t>in</w:t>
      </w:r>
      <w:r w:rsidR="00047F11">
        <w:rPr>
          <w:sz w:val="20"/>
          <w:szCs w:val="20"/>
        </w:rPr>
        <w:t xml:space="preserve"> People &amp; Capability, creation of a draft p</w:t>
      </w:r>
      <w:r w:rsidR="00047F11" w:rsidRPr="00AA59E4">
        <w:rPr>
          <w:sz w:val="20"/>
          <w:szCs w:val="20"/>
        </w:rPr>
        <w:t xml:space="preserve">sychosocial </w:t>
      </w:r>
      <w:r w:rsidR="00047F11">
        <w:rPr>
          <w:sz w:val="20"/>
          <w:szCs w:val="20"/>
        </w:rPr>
        <w:t xml:space="preserve">hazard risk register and mapping of the various existing ACU processes by which </w:t>
      </w:r>
      <w:r w:rsidR="00047F11">
        <w:rPr>
          <w:sz w:val="20"/>
          <w:szCs w:val="20"/>
        </w:rPr>
        <w:lastRenderedPageBreak/>
        <w:t>p</w:t>
      </w:r>
      <w:r w:rsidR="00047F11" w:rsidRPr="00AA59E4">
        <w:rPr>
          <w:sz w:val="20"/>
          <w:szCs w:val="20"/>
        </w:rPr>
        <w:t xml:space="preserve">sychosocial </w:t>
      </w:r>
      <w:r w:rsidR="00047F11">
        <w:rPr>
          <w:sz w:val="20"/>
          <w:szCs w:val="20"/>
        </w:rPr>
        <w:t xml:space="preserve">hazards and psychological illness are reported. </w:t>
      </w:r>
    </w:p>
    <w:p w14:paraId="3B9A98DA" w14:textId="7C42A50C" w:rsidR="00047F11" w:rsidRPr="00AA59E4" w:rsidRDefault="00047F11" w:rsidP="00047F11">
      <w:pPr>
        <w:pStyle w:val="ListParagraph"/>
        <w:numPr>
          <w:ilvl w:val="0"/>
          <w:numId w:val="39"/>
        </w:numPr>
        <w:spacing w:line="280" w:lineRule="exact"/>
        <w:rPr>
          <w:sz w:val="20"/>
          <w:szCs w:val="20"/>
        </w:rPr>
      </w:pPr>
      <w:r w:rsidRPr="00AA59E4">
        <w:rPr>
          <w:sz w:val="20"/>
          <w:szCs w:val="20"/>
        </w:rPr>
        <w:t xml:space="preserve">EAP Tender Evaluation Panel undertook vendor presentations </w:t>
      </w:r>
      <w:r w:rsidR="00A45593">
        <w:rPr>
          <w:sz w:val="20"/>
          <w:szCs w:val="20"/>
        </w:rPr>
        <w:t>with 4 shortlisted vendors (ou</w:t>
      </w:r>
      <w:r w:rsidR="00AC4E6C">
        <w:rPr>
          <w:sz w:val="20"/>
          <w:szCs w:val="20"/>
        </w:rPr>
        <w:t>t</w:t>
      </w:r>
      <w:r w:rsidR="00A45593">
        <w:rPr>
          <w:sz w:val="20"/>
          <w:szCs w:val="20"/>
        </w:rPr>
        <w:t xml:space="preserve"> of 7 who provided conforming responses) </w:t>
      </w:r>
      <w:r w:rsidRPr="00AA59E4">
        <w:rPr>
          <w:sz w:val="20"/>
          <w:szCs w:val="20"/>
        </w:rPr>
        <w:t>with the aim to determi</w:t>
      </w:r>
      <w:r w:rsidR="00AC4E6C">
        <w:rPr>
          <w:sz w:val="20"/>
          <w:szCs w:val="20"/>
        </w:rPr>
        <w:t>ne</w:t>
      </w:r>
      <w:r w:rsidRPr="00AA59E4">
        <w:rPr>
          <w:sz w:val="20"/>
          <w:szCs w:val="20"/>
        </w:rPr>
        <w:t xml:space="preserve"> a to the successful vendor </w:t>
      </w:r>
      <w:r w:rsidR="00AC4E6C">
        <w:rPr>
          <w:sz w:val="20"/>
          <w:szCs w:val="20"/>
        </w:rPr>
        <w:t>during</w:t>
      </w:r>
      <w:r w:rsidRPr="00AA59E4">
        <w:rPr>
          <w:sz w:val="20"/>
          <w:szCs w:val="20"/>
        </w:rPr>
        <w:t xml:space="preserve"> October.  </w:t>
      </w:r>
    </w:p>
    <w:p w14:paraId="34E6AD27" w14:textId="51B39133" w:rsidR="00047F11" w:rsidRPr="00AA59E4" w:rsidRDefault="00047F11" w:rsidP="00047F11">
      <w:pPr>
        <w:pStyle w:val="ListParagraph"/>
        <w:numPr>
          <w:ilvl w:val="0"/>
          <w:numId w:val="39"/>
        </w:numPr>
        <w:spacing w:line="280" w:lineRule="exact"/>
        <w:rPr>
          <w:sz w:val="20"/>
          <w:szCs w:val="20"/>
        </w:rPr>
      </w:pPr>
      <w:r w:rsidRPr="00AA59E4">
        <w:rPr>
          <w:sz w:val="20"/>
          <w:szCs w:val="20"/>
        </w:rPr>
        <w:t xml:space="preserve">ACU marked R </w:t>
      </w:r>
      <w:proofErr w:type="gramStart"/>
      <w:r w:rsidRPr="00AA59E4">
        <w:rPr>
          <w:sz w:val="20"/>
          <w:szCs w:val="20"/>
        </w:rPr>
        <w:t>U</w:t>
      </w:r>
      <w:proofErr w:type="gramEnd"/>
      <w:r w:rsidRPr="00AA59E4">
        <w:rPr>
          <w:sz w:val="20"/>
          <w:szCs w:val="20"/>
        </w:rPr>
        <w:t xml:space="preserve"> OK? Day on September 14 with </w:t>
      </w:r>
      <w:r w:rsidR="00AC4E6C">
        <w:rPr>
          <w:sz w:val="20"/>
          <w:szCs w:val="20"/>
        </w:rPr>
        <w:t xml:space="preserve">Staff </w:t>
      </w:r>
      <w:r w:rsidRPr="00AA59E4">
        <w:rPr>
          <w:sz w:val="20"/>
          <w:szCs w:val="20"/>
        </w:rPr>
        <w:t xml:space="preserve">Bulletin communications and on-demand videos on asking R </w:t>
      </w:r>
      <w:proofErr w:type="gramStart"/>
      <w:r w:rsidRPr="00AA59E4">
        <w:rPr>
          <w:sz w:val="20"/>
          <w:szCs w:val="20"/>
        </w:rPr>
        <w:t>U</w:t>
      </w:r>
      <w:proofErr w:type="gramEnd"/>
      <w:r w:rsidRPr="00AA59E4">
        <w:rPr>
          <w:sz w:val="20"/>
          <w:szCs w:val="20"/>
        </w:rPr>
        <w:t xml:space="preserve"> OK? for use by staff until year end. </w:t>
      </w:r>
    </w:p>
    <w:p w14:paraId="108D6F5D" w14:textId="6AD206FA" w:rsidR="00047F11" w:rsidRDefault="00047F11" w:rsidP="00047F11">
      <w:pPr>
        <w:pStyle w:val="ListParagraph"/>
        <w:numPr>
          <w:ilvl w:val="0"/>
          <w:numId w:val="39"/>
        </w:numPr>
        <w:spacing w:line="280" w:lineRule="exact"/>
        <w:rPr>
          <w:sz w:val="20"/>
          <w:szCs w:val="20"/>
        </w:rPr>
      </w:pPr>
      <w:r w:rsidRPr="00AA59E4">
        <w:rPr>
          <w:sz w:val="20"/>
          <w:szCs w:val="20"/>
        </w:rPr>
        <w:t xml:space="preserve">Two of </w:t>
      </w:r>
      <w:r>
        <w:rPr>
          <w:sz w:val="20"/>
          <w:szCs w:val="20"/>
        </w:rPr>
        <w:t>four planned “</w:t>
      </w:r>
      <w:r w:rsidRPr="00AA59E4">
        <w:rPr>
          <w:sz w:val="20"/>
          <w:szCs w:val="20"/>
        </w:rPr>
        <w:t>Self-Care through Change</w:t>
      </w:r>
      <w:r>
        <w:rPr>
          <w:sz w:val="20"/>
          <w:szCs w:val="20"/>
        </w:rPr>
        <w:t>”</w:t>
      </w:r>
      <w:r w:rsidRPr="00AA59E4">
        <w:rPr>
          <w:sz w:val="20"/>
          <w:szCs w:val="20"/>
        </w:rPr>
        <w:t xml:space="preserve"> sessions conducted by EAP provider</w:t>
      </w:r>
      <w:r w:rsidR="00394FB8">
        <w:rPr>
          <w:sz w:val="20"/>
          <w:szCs w:val="20"/>
        </w:rPr>
        <w:t>, attended by 26 ACU staff members.</w:t>
      </w:r>
    </w:p>
    <w:p w14:paraId="1CF5ED1F" w14:textId="1B073461" w:rsidR="00047F11" w:rsidRDefault="00AC4E6C" w:rsidP="00047F11">
      <w:pPr>
        <w:pStyle w:val="ListParagraph"/>
        <w:numPr>
          <w:ilvl w:val="0"/>
          <w:numId w:val="39"/>
        </w:numPr>
        <w:spacing w:line="280" w:lineRule="exact"/>
        <w:rPr>
          <w:sz w:val="20"/>
          <w:szCs w:val="20"/>
        </w:rPr>
      </w:pPr>
      <w:r>
        <w:rPr>
          <w:sz w:val="20"/>
          <w:szCs w:val="20"/>
        </w:rPr>
        <w:t xml:space="preserve">A </w:t>
      </w:r>
      <w:r w:rsidR="00047F11" w:rsidRPr="00AA59E4">
        <w:rPr>
          <w:sz w:val="20"/>
          <w:szCs w:val="20"/>
        </w:rPr>
        <w:t xml:space="preserve">Broad Rush WHS Risk Assessment </w:t>
      </w:r>
      <w:r w:rsidR="00047F11">
        <w:rPr>
          <w:sz w:val="20"/>
          <w:szCs w:val="20"/>
        </w:rPr>
        <w:t xml:space="preserve">(BBRA) </w:t>
      </w:r>
      <w:r w:rsidR="00047F11" w:rsidRPr="00AA59E4">
        <w:rPr>
          <w:sz w:val="20"/>
          <w:szCs w:val="20"/>
        </w:rPr>
        <w:t>private tender was released with a closing date of 19</w:t>
      </w:r>
      <w:r w:rsidR="00047F11" w:rsidRPr="00AA59E4">
        <w:rPr>
          <w:sz w:val="20"/>
          <w:szCs w:val="20"/>
          <w:vertAlign w:val="superscript"/>
        </w:rPr>
        <w:t>th</w:t>
      </w:r>
      <w:r w:rsidR="00047F11" w:rsidRPr="00AA59E4">
        <w:rPr>
          <w:sz w:val="20"/>
          <w:szCs w:val="20"/>
        </w:rPr>
        <w:t xml:space="preserve"> October</w:t>
      </w:r>
      <w:r>
        <w:rPr>
          <w:sz w:val="20"/>
          <w:szCs w:val="20"/>
        </w:rPr>
        <w:t>, intended to address key recommendations from the EY WHS Internal Audit.</w:t>
      </w:r>
    </w:p>
    <w:p w14:paraId="219689CB" w14:textId="08E6AE3D" w:rsidR="00047F11" w:rsidRDefault="00047F11" w:rsidP="00047F11">
      <w:pPr>
        <w:pStyle w:val="ListParagraph"/>
        <w:numPr>
          <w:ilvl w:val="0"/>
          <w:numId w:val="39"/>
        </w:numPr>
        <w:spacing w:line="280" w:lineRule="exact"/>
        <w:rPr>
          <w:sz w:val="20"/>
          <w:szCs w:val="20"/>
        </w:rPr>
      </w:pPr>
      <w:r>
        <w:rPr>
          <w:sz w:val="20"/>
          <w:szCs w:val="20"/>
        </w:rPr>
        <w:t xml:space="preserve">Training / Professional Development session held for all People and Capability staff on “Psychosocial Hazards and Organisational Change”, as a precursor to further training </w:t>
      </w:r>
      <w:r w:rsidR="00AC4E6C">
        <w:rPr>
          <w:sz w:val="20"/>
          <w:szCs w:val="20"/>
        </w:rPr>
        <w:t xml:space="preserve">in psychosocial hazards </w:t>
      </w:r>
      <w:r>
        <w:rPr>
          <w:sz w:val="20"/>
          <w:szCs w:val="20"/>
        </w:rPr>
        <w:t>planned for the organisation in 2024.</w:t>
      </w:r>
    </w:p>
    <w:p w14:paraId="2730E7D2" w14:textId="77777777" w:rsidR="00047F11" w:rsidRDefault="00047F11" w:rsidP="00047F11">
      <w:pPr>
        <w:pStyle w:val="ListParagraph"/>
        <w:numPr>
          <w:ilvl w:val="0"/>
          <w:numId w:val="39"/>
        </w:numPr>
        <w:spacing w:line="280" w:lineRule="exact"/>
        <w:rPr>
          <w:sz w:val="20"/>
          <w:szCs w:val="20"/>
        </w:rPr>
      </w:pPr>
      <w:r>
        <w:rPr>
          <w:sz w:val="20"/>
          <w:szCs w:val="20"/>
        </w:rPr>
        <w:t xml:space="preserve">Q3 WHS Management Committee meeting held, with a focus </w:t>
      </w:r>
      <w:proofErr w:type="gramStart"/>
      <w:r>
        <w:rPr>
          <w:sz w:val="20"/>
          <w:szCs w:val="20"/>
        </w:rPr>
        <w:t>on:</w:t>
      </w:r>
      <w:proofErr w:type="gramEnd"/>
      <w:r>
        <w:rPr>
          <w:sz w:val="20"/>
          <w:szCs w:val="20"/>
        </w:rPr>
        <w:t xml:space="preserve"> face-mask fit testing; AHEAI benchmarking results; legacy designated smoking areas; Rome Campus; and HSR Recruitment.</w:t>
      </w:r>
    </w:p>
    <w:p w14:paraId="1A3A2A2D" w14:textId="77777777" w:rsidR="00047F11" w:rsidRDefault="00047F11" w:rsidP="00047F11">
      <w:pPr>
        <w:pStyle w:val="ListParagraph"/>
        <w:numPr>
          <w:ilvl w:val="0"/>
          <w:numId w:val="39"/>
        </w:numPr>
        <w:spacing w:line="280" w:lineRule="exact"/>
        <w:rPr>
          <w:sz w:val="20"/>
          <w:szCs w:val="20"/>
        </w:rPr>
      </w:pPr>
      <w:r>
        <w:rPr>
          <w:sz w:val="20"/>
          <w:szCs w:val="20"/>
        </w:rPr>
        <w:t>Safety and Wellbeing team attended the Australian University Safety Association Conference at UNSW.</w:t>
      </w:r>
    </w:p>
    <w:p w14:paraId="4470AD61" w14:textId="65BD16AF" w:rsidR="00047F11" w:rsidRPr="00AA59E4" w:rsidRDefault="00047F11" w:rsidP="00047F11">
      <w:pPr>
        <w:pStyle w:val="ListParagraph"/>
        <w:numPr>
          <w:ilvl w:val="0"/>
          <w:numId w:val="39"/>
        </w:numPr>
        <w:spacing w:line="280" w:lineRule="exact"/>
        <w:rPr>
          <w:sz w:val="20"/>
          <w:szCs w:val="20"/>
        </w:rPr>
      </w:pPr>
      <w:r>
        <w:rPr>
          <w:sz w:val="20"/>
          <w:szCs w:val="20"/>
        </w:rPr>
        <w:t>Funding was approved for the remainder of 2023</w:t>
      </w:r>
      <w:r w:rsidR="00AC4E6C">
        <w:rPr>
          <w:sz w:val="20"/>
          <w:szCs w:val="20"/>
        </w:rPr>
        <w:t>,</w:t>
      </w:r>
      <w:r>
        <w:rPr>
          <w:sz w:val="20"/>
          <w:szCs w:val="20"/>
        </w:rPr>
        <w:t xml:space="preserve"> and for 2024</w:t>
      </w:r>
      <w:r w:rsidR="00AC4E6C">
        <w:rPr>
          <w:sz w:val="20"/>
          <w:szCs w:val="20"/>
        </w:rPr>
        <w:t>,</w:t>
      </w:r>
      <w:r>
        <w:rPr>
          <w:sz w:val="20"/>
          <w:szCs w:val="20"/>
        </w:rPr>
        <w:t xml:space="preserve"> to enable ACU to meet its commitments in response to the EY WHS Audit.  This includes a significant upgrade and capability expansion to the riskware incident and hazard reporting system, the BBRA consultancy (see above) and assistance in developing a staff/student mental wellbeing strategy</w:t>
      </w:r>
      <w:r w:rsidR="00B40145">
        <w:rPr>
          <w:sz w:val="20"/>
          <w:szCs w:val="20"/>
        </w:rPr>
        <w:t xml:space="preserve"> </w:t>
      </w:r>
      <w:r w:rsidR="00B40145" w:rsidRPr="00B40145">
        <w:rPr>
          <w:sz w:val="20"/>
          <w:szCs w:val="20"/>
        </w:rPr>
        <w:t>in line with the university’s mission</w:t>
      </w:r>
      <w:r>
        <w:rPr>
          <w:sz w:val="20"/>
          <w:szCs w:val="20"/>
        </w:rPr>
        <w:t>.</w:t>
      </w:r>
    </w:p>
    <w:p w14:paraId="09D1DBB0" w14:textId="77777777" w:rsidR="00047F11" w:rsidRDefault="00047F11" w:rsidP="00CB7866">
      <w:pPr>
        <w:spacing w:line="280" w:lineRule="exact"/>
        <w:rPr>
          <w:sz w:val="20"/>
          <w:szCs w:val="20"/>
        </w:rPr>
      </w:pPr>
    </w:p>
    <w:p w14:paraId="51DA442D" w14:textId="4E07DCE2" w:rsidR="00C40F5E" w:rsidRDefault="00AD10E1" w:rsidP="00C40F5E">
      <w:pPr>
        <w:pStyle w:val="Heading1"/>
        <w:tabs>
          <w:tab w:val="left" w:pos="567"/>
          <w:tab w:val="left" w:pos="1134"/>
        </w:tabs>
        <w:kinsoku w:val="0"/>
        <w:overflowPunct w:val="0"/>
        <w:spacing w:before="1"/>
        <w:ind w:left="0" w:firstLine="0"/>
        <w:rPr>
          <w:color w:val="3E1B59"/>
        </w:rPr>
      </w:pPr>
      <w:r>
        <w:rPr>
          <w:color w:val="3E1B59"/>
        </w:rPr>
        <w:t>4</w:t>
      </w:r>
      <w:r w:rsidR="00C40F5E">
        <w:rPr>
          <w:color w:val="3E1B59"/>
        </w:rPr>
        <w:t xml:space="preserve">. </w:t>
      </w:r>
      <w:r w:rsidR="000161FE">
        <w:rPr>
          <w:color w:val="3E1B59"/>
        </w:rPr>
        <w:t>Further Information</w:t>
      </w:r>
    </w:p>
    <w:p w14:paraId="3D76425F" w14:textId="77777777" w:rsidR="00C40F5E" w:rsidRDefault="00C40F5E" w:rsidP="00C40F5E"/>
    <w:p w14:paraId="7CDD100C" w14:textId="3823606B" w:rsidR="00C40F5E" w:rsidRDefault="00AD10E1" w:rsidP="00C40F5E">
      <w:pPr>
        <w:spacing w:line="280" w:lineRule="exact"/>
        <w:rPr>
          <w:sz w:val="20"/>
          <w:szCs w:val="20"/>
        </w:rPr>
      </w:pPr>
      <w:r>
        <w:rPr>
          <w:sz w:val="20"/>
          <w:szCs w:val="20"/>
        </w:rPr>
        <w:t>More detailed data</w:t>
      </w:r>
      <w:r w:rsidR="00ED37AC">
        <w:rPr>
          <w:sz w:val="20"/>
          <w:szCs w:val="20"/>
        </w:rPr>
        <w:t xml:space="preserve"> regarding</w:t>
      </w:r>
      <w:r>
        <w:rPr>
          <w:sz w:val="20"/>
          <w:szCs w:val="20"/>
        </w:rPr>
        <w:t>, and advice on improving</w:t>
      </w:r>
      <w:r w:rsidR="00ED37AC">
        <w:rPr>
          <w:sz w:val="20"/>
          <w:szCs w:val="20"/>
        </w:rPr>
        <w:t>,</w:t>
      </w:r>
      <w:r>
        <w:rPr>
          <w:sz w:val="20"/>
          <w:szCs w:val="20"/>
        </w:rPr>
        <w:t xml:space="preserve"> WHS performance for Portfolios, </w:t>
      </w:r>
      <w:r w:rsidR="000161FE">
        <w:rPr>
          <w:sz w:val="20"/>
          <w:szCs w:val="20"/>
        </w:rPr>
        <w:t>Faculties, Directorates and other work area</w:t>
      </w:r>
      <w:r>
        <w:rPr>
          <w:sz w:val="20"/>
          <w:szCs w:val="20"/>
        </w:rPr>
        <w:t>s</w:t>
      </w:r>
      <w:r w:rsidR="00ED37AC">
        <w:rPr>
          <w:sz w:val="20"/>
          <w:szCs w:val="20"/>
        </w:rPr>
        <w:t>,</w:t>
      </w:r>
      <w:r w:rsidR="000161FE">
        <w:rPr>
          <w:sz w:val="20"/>
          <w:szCs w:val="20"/>
        </w:rPr>
        <w:t xml:space="preserve"> is available on request from the Safety &amp; Wellbeing team at </w:t>
      </w:r>
      <w:hyperlink r:id="rId11" w:history="1">
        <w:r w:rsidR="000161FE" w:rsidRPr="0017151A">
          <w:rPr>
            <w:rStyle w:val="Hyperlink"/>
            <w:rFonts w:cs="Arial"/>
            <w:sz w:val="20"/>
            <w:szCs w:val="20"/>
          </w:rPr>
          <w:t>healthsafetywellbeing@acu.edu.au</w:t>
        </w:r>
      </w:hyperlink>
      <w:r w:rsidR="000161FE">
        <w:rPr>
          <w:sz w:val="20"/>
          <w:szCs w:val="20"/>
        </w:rPr>
        <w:t xml:space="preserve">. </w:t>
      </w:r>
    </w:p>
    <w:p w14:paraId="6D0A3743" w14:textId="77777777" w:rsidR="00C40F5E" w:rsidRDefault="00C40F5E" w:rsidP="00C40F5E">
      <w:pPr>
        <w:spacing w:line="280" w:lineRule="exact"/>
        <w:rPr>
          <w:sz w:val="20"/>
          <w:szCs w:val="20"/>
        </w:rPr>
      </w:pPr>
    </w:p>
    <w:p w14:paraId="53AE8A12" w14:textId="77777777" w:rsidR="00AC4E6C" w:rsidRDefault="00AC4E6C" w:rsidP="00C40F5E">
      <w:pPr>
        <w:spacing w:line="280" w:lineRule="exact"/>
        <w:rPr>
          <w:sz w:val="20"/>
          <w:szCs w:val="20"/>
        </w:rPr>
      </w:pPr>
    </w:p>
    <w:p w14:paraId="43B219B4" w14:textId="77777777" w:rsidR="00AC4E6C" w:rsidRDefault="00AC4E6C" w:rsidP="00C40F5E">
      <w:pPr>
        <w:spacing w:line="280" w:lineRule="exact"/>
        <w:rPr>
          <w:sz w:val="20"/>
          <w:szCs w:val="20"/>
        </w:rPr>
      </w:pPr>
    </w:p>
    <w:p w14:paraId="2DD91DB5" w14:textId="77777777" w:rsidR="00AC4E6C" w:rsidRDefault="00AC4E6C" w:rsidP="00C40F5E">
      <w:pPr>
        <w:spacing w:line="280" w:lineRule="exact"/>
        <w:rPr>
          <w:sz w:val="20"/>
          <w:szCs w:val="20"/>
        </w:rPr>
      </w:pPr>
    </w:p>
    <w:p w14:paraId="53C7DB2B" w14:textId="77777777" w:rsidR="00AC4E6C" w:rsidRDefault="00AC4E6C" w:rsidP="00C40F5E">
      <w:pPr>
        <w:spacing w:line="280" w:lineRule="exact"/>
        <w:rPr>
          <w:sz w:val="20"/>
          <w:szCs w:val="20"/>
        </w:rPr>
      </w:pPr>
    </w:p>
    <w:p w14:paraId="07193B56" w14:textId="77777777" w:rsidR="00AC4E6C" w:rsidRDefault="00AC4E6C" w:rsidP="00C40F5E">
      <w:pPr>
        <w:spacing w:line="280" w:lineRule="exact"/>
        <w:rPr>
          <w:sz w:val="20"/>
          <w:szCs w:val="20"/>
        </w:rPr>
      </w:pPr>
    </w:p>
    <w:p w14:paraId="79C5621D" w14:textId="77777777" w:rsidR="00AC4E6C" w:rsidRDefault="00AC4E6C" w:rsidP="00C40F5E">
      <w:pPr>
        <w:spacing w:line="280" w:lineRule="exact"/>
        <w:rPr>
          <w:sz w:val="20"/>
          <w:szCs w:val="20"/>
        </w:rPr>
      </w:pPr>
    </w:p>
    <w:p w14:paraId="762216AE" w14:textId="77777777" w:rsidR="00AC4E6C" w:rsidRDefault="00AC4E6C" w:rsidP="00C40F5E">
      <w:pPr>
        <w:spacing w:line="280" w:lineRule="exact"/>
        <w:rPr>
          <w:sz w:val="20"/>
          <w:szCs w:val="20"/>
        </w:rPr>
      </w:pPr>
    </w:p>
    <w:p w14:paraId="1A63FE5C" w14:textId="77777777" w:rsidR="00AC4E6C" w:rsidRDefault="00AC4E6C" w:rsidP="00C40F5E">
      <w:pPr>
        <w:spacing w:line="280" w:lineRule="exact"/>
        <w:rPr>
          <w:sz w:val="20"/>
          <w:szCs w:val="20"/>
        </w:rPr>
      </w:pPr>
    </w:p>
    <w:p w14:paraId="6E8F6B1D" w14:textId="77777777" w:rsidR="00AC4E6C" w:rsidRDefault="00AC4E6C" w:rsidP="00C40F5E">
      <w:pPr>
        <w:spacing w:line="280" w:lineRule="exact"/>
        <w:rPr>
          <w:sz w:val="20"/>
          <w:szCs w:val="20"/>
        </w:rPr>
      </w:pPr>
    </w:p>
    <w:p w14:paraId="067C9DBA" w14:textId="77777777" w:rsidR="00AC4E6C" w:rsidRDefault="00AC4E6C" w:rsidP="00C40F5E">
      <w:pPr>
        <w:spacing w:line="280" w:lineRule="exact"/>
        <w:rPr>
          <w:sz w:val="20"/>
          <w:szCs w:val="20"/>
        </w:rPr>
      </w:pPr>
    </w:p>
    <w:p w14:paraId="3AB45AA4" w14:textId="77777777" w:rsidR="00AC4E6C" w:rsidRDefault="00AC4E6C" w:rsidP="00C40F5E">
      <w:pPr>
        <w:spacing w:line="280" w:lineRule="exact"/>
        <w:rPr>
          <w:sz w:val="20"/>
          <w:szCs w:val="20"/>
        </w:rPr>
      </w:pPr>
    </w:p>
    <w:p w14:paraId="6B20CFD5" w14:textId="77777777" w:rsidR="00AC4E6C" w:rsidRDefault="00AC4E6C" w:rsidP="00C40F5E">
      <w:pPr>
        <w:spacing w:line="280" w:lineRule="exact"/>
        <w:rPr>
          <w:sz w:val="20"/>
          <w:szCs w:val="20"/>
        </w:rPr>
      </w:pPr>
    </w:p>
    <w:p w14:paraId="69A1A642" w14:textId="77777777" w:rsidR="00AC4E6C" w:rsidRDefault="00AC4E6C" w:rsidP="00C40F5E">
      <w:pPr>
        <w:spacing w:line="280" w:lineRule="exact"/>
        <w:rPr>
          <w:sz w:val="20"/>
          <w:szCs w:val="20"/>
        </w:rPr>
      </w:pPr>
    </w:p>
    <w:p w14:paraId="7471BD09" w14:textId="77777777" w:rsidR="00AC4E6C" w:rsidRDefault="00AC4E6C" w:rsidP="00C40F5E">
      <w:pPr>
        <w:spacing w:line="280" w:lineRule="exact"/>
        <w:rPr>
          <w:sz w:val="20"/>
          <w:szCs w:val="20"/>
        </w:rPr>
      </w:pPr>
    </w:p>
    <w:p w14:paraId="75C41758" w14:textId="77777777" w:rsidR="00AC4E6C" w:rsidRDefault="00AC4E6C" w:rsidP="00C40F5E">
      <w:pPr>
        <w:spacing w:line="280" w:lineRule="exact"/>
        <w:rPr>
          <w:sz w:val="20"/>
          <w:szCs w:val="20"/>
        </w:rPr>
      </w:pPr>
    </w:p>
    <w:p w14:paraId="3A465890" w14:textId="77777777" w:rsidR="00AC4E6C" w:rsidRDefault="00AC4E6C" w:rsidP="00C40F5E">
      <w:pPr>
        <w:spacing w:line="280" w:lineRule="exact"/>
        <w:rPr>
          <w:sz w:val="20"/>
          <w:szCs w:val="20"/>
        </w:rPr>
      </w:pPr>
    </w:p>
    <w:p w14:paraId="6C46AA63" w14:textId="77777777" w:rsidR="00AC4E6C" w:rsidRDefault="00AC4E6C" w:rsidP="00C40F5E">
      <w:pPr>
        <w:spacing w:line="280" w:lineRule="exact"/>
        <w:rPr>
          <w:sz w:val="20"/>
          <w:szCs w:val="20"/>
        </w:rPr>
      </w:pPr>
    </w:p>
    <w:p w14:paraId="19E34787" w14:textId="77777777" w:rsidR="00AC4E6C" w:rsidRDefault="00AC4E6C" w:rsidP="00C40F5E">
      <w:pPr>
        <w:spacing w:line="280" w:lineRule="exact"/>
        <w:rPr>
          <w:sz w:val="20"/>
          <w:szCs w:val="20"/>
        </w:rPr>
      </w:pPr>
    </w:p>
    <w:p w14:paraId="72D5A323" w14:textId="77777777" w:rsidR="00AC4E6C" w:rsidRDefault="00AC4E6C" w:rsidP="00C40F5E">
      <w:pPr>
        <w:spacing w:line="280" w:lineRule="exact"/>
        <w:rPr>
          <w:sz w:val="20"/>
          <w:szCs w:val="20"/>
        </w:rPr>
      </w:pPr>
    </w:p>
    <w:p w14:paraId="2709FF42" w14:textId="77777777" w:rsidR="00AC4E6C" w:rsidRDefault="00AC4E6C" w:rsidP="00C40F5E">
      <w:pPr>
        <w:spacing w:line="280" w:lineRule="exact"/>
        <w:rPr>
          <w:sz w:val="20"/>
          <w:szCs w:val="20"/>
        </w:rPr>
      </w:pPr>
    </w:p>
    <w:p w14:paraId="16B0DC1E" w14:textId="77777777" w:rsidR="00AC4E6C" w:rsidRDefault="00AC4E6C" w:rsidP="00C40F5E">
      <w:pPr>
        <w:spacing w:line="280" w:lineRule="exact"/>
        <w:rPr>
          <w:sz w:val="20"/>
          <w:szCs w:val="20"/>
        </w:rPr>
      </w:pPr>
    </w:p>
    <w:p w14:paraId="04AA7F14" w14:textId="77777777" w:rsidR="00AC4E6C" w:rsidRDefault="00AC4E6C" w:rsidP="00C40F5E">
      <w:pPr>
        <w:spacing w:line="280" w:lineRule="exact"/>
        <w:rPr>
          <w:sz w:val="20"/>
          <w:szCs w:val="20"/>
        </w:rPr>
      </w:pPr>
    </w:p>
    <w:p w14:paraId="0D76DC62" w14:textId="77777777" w:rsidR="00AC4E6C" w:rsidRDefault="00AC4E6C" w:rsidP="00C40F5E">
      <w:pPr>
        <w:spacing w:line="280" w:lineRule="exact"/>
        <w:rPr>
          <w:sz w:val="20"/>
          <w:szCs w:val="20"/>
        </w:rPr>
      </w:pPr>
    </w:p>
    <w:p w14:paraId="7A906E27" w14:textId="77777777" w:rsidR="00AC4E6C" w:rsidRDefault="00AC4E6C" w:rsidP="00C40F5E">
      <w:pPr>
        <w:spacing w:line="280" w:lineRule="exact"/>
        <w:rPr>
          <w:sz w:val="20"/>
          <w:szCs w:val="20"/>
        </w:rPr>
      </w:pPr>
    </w:p>
    <w:p w14:paraId="658E27DB" w14:textId="77777777" w:rsidR="00AC4E6C" w:rsidRDefault="00AC4E6C" w:rsidP="00C40F5E">
      <w:pPr>
        <w:spacing w:line="280" w:lineRule="exact"/>
        <w:rPr>
          <w:sz w:val="20"/>
          <w:szCs w:val="20"/>
        </w:rPr>
      </w:pPr>
    </w:p>
    <w:p w14:paraId="6B6EE82B" w14:textId="4F395567" w:rsidR="00C40F5E" w:rsidRDefault="00C40F5E" w:rsidP="00C40F5E">
      <w:pPr>
        <w:spacing w:line="280" w:lineRule="exact"/>
        <w:rPr>
          <w:sz w:val="20"/>
          <w:szCs w:val="20"/>
        </w:rPr>
      </w:pPr>
      <w:r w:rsidRPr="00570FAF">
        <w:rPr>
          <w:sz w:val="20"/>
          <w:szCs w:val="20"/>
        </w:rPr>
        <w:t xml:space="preserve">Submitted for information by </w:t>
      </w:r>
    </w:p>
    <w:p w14:paraId="18CDB2B5" w14:textId="77777777" w:rsidR="00C40F5E" w:rsidRPr="00570FAF" w:rsidRDefault="00C40F5E" w:rsidP="00C40F5E">
      <w:pPr>
        <w:spacing w:line="280" w:lineRule="exact"/>
        <w:rPr>
          <w:sz w:val="20"/>
          <w:szCs w:val="20"/>
        </w:rPr>
      </w:pPr>
      <w:r>
        <w:rPr>
          <w:sz w:val="20"/>
          <w:szCs w:val="20"/>
        </w:rPr>
        <w:t>People and Capability</w:t>
      </w:r>
    </w:p>
    <w:p w14:paraId="2837456B" w14:textId="6A0AED6E" w:rsidR="00C40F5E" w:rsidRDefault="000D603E" w:rsidP="00CB7866">
      <w:pPr>
        <w:spacing w:line="280" w:lineRule="exact"/>
        <w:rPr>
          <w:sz w:val="20"/>
          <w:szCs w:val="20"/>
        </w:rPr>
      </w:pPr>
      <w:r>
        <w:rPr>
          <w:sz w:val="20"/>
          <w:szCs w:val="20"/>
        </w:rPr>
        <w:lastRenderedPageBreak/>
        <w:t xml:space="preserve">October 2023 </w:t>
      </w:r>
    </w:p>
    <w:p w14:paraId="791ABC51" w14:textId="77777777" w:rsidR="000D603E" w:rsidRDefault="000D603E" w:rsidP="00CB7866">
      <w:pPr>
        <w:spacing w:line="280" w:lineRule="exact"/>
        <w:rPr>
          <w:sz w:val="20"/>
          <w:szCs w:val="20"/>
        </w:rPr>
      </w:pPr>
    </w:p>
    <w:sectPr w:rsidR="000D603E" w:rsidSect="00ED37AC">
      <w:footerReference w:type="default" r:id="rId12"/>
      <w:pgSz w:w="11910" w:h="16840"/>
      <w:pgMar w:top="709" w:right="1137" w:bottom="709" w:left="993" w:header="0" w:footer="347" w:gutter="0"/>
      <w:cols w:space="720" w:equalWidth="0">
        <w:col w:w="10258"/>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70D2D" w14:textId="77777777" w:rsidR="00CC208B" w:rsidRDefault="00CC208B">
      <w:r>
        <w:separator/>
      </w:r>
    </w:p>
  </w:endnote>
  <w:endnote w:type="continuationSeparator" w:id="0">
    <w:p w14:paraId="22964CD2" w14:textId="77777777" w:rsidR="00CC208B" w:rsidRDefault="00CC2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280099"/>
      <w:docPartObj>
        <w:docPartGallery w:val="Page Numbers (Bottom of Page)"/>
        <w:docPartUnique/>
      </w:docPartObj>
    </w:sdtPr>
    <w:sdtEndPr>
      <w:rPr>
        <w:noProof/>
      </w:rPr>
    </w:sdtEndPr>
    <w:sdtContent>
      <w:p w14:paraId="603EC95F" w14:textId="5C6F326D" w:rsidR="008E393E" w:rsidRDefault="008E393E" w:rsidP="002E380E">
        <w:pPr>
          <w:pStyle w:val="Footer"/>
          <w:spacing w:line="360" w:lineRule="auto"/>
          <w:jc w:val="center"/>
        </w:pPr>
        <w:r w:rsidRPr="008E393E">
          <w:rPr>
            <w:sz w:val="20"/>
            <w:szCs w:val="20"/>
          </w:rPr>
          <w:fldChar w:fldCharType="begin"/>
        </w:r>
        <w:r w:rsidRPr="008E393E">
          <w:rPr>
            <w:sz w:val="20"/>
            <w:szCs w:val="20"/>
          </w:rPr>
          <w:instrText xml:space="preserve"> PAGE   \* MERGEFORMAT </w:instrText>
        </w:r>
        <w:r w:rsidRPr="008E393E">
          <w:rPr>
            <w:sz w:val="20"/>
            <w:szCs w:val="20"/>
          </w:rPr>
          <w:fldChar w:fldCharType="separate"/>
        </w:r>
        <w:r w:rsidRPr="008E393E">
          <w:rPr>
            <w:noProof/>
            <w:sz w:val="20"/>
            <w:szCs w:val="20"/>
          </w:rPr>
          <w:t>2</w:t>
        </w:r>
        <w:r w:rsidRPr="008E393E">
          <w:rPr>
            <w:noProof/>
            <w:sz w:val="20"/>
            <w:szCs w:val="20"/>
          </w:rPr>
          <w:fldChar w:fldCharType="end"/>
        </w:r>
      </w:p>
    </w:sdtContent>
  </w:sdt>
  <w:p w14:paraId="3DD35E3A" w14:textId="77777777" w:rsidR="008E393E" w:rsidRDefault="008E3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651FC" w14:textId="77777777" w:rsidR="00CC208B" w:rsidRDefault="00CC208B">
      <w:r>
        <w:separator/>
      </w:r>
    </w:p>
  </w:footnote>
  <w:footnote w:type="continuationSeparator" w:id="0">
    <w:p w14:paraId="38199A73" w14:textId="77777777" w:rsidR="00CC208B" w:rsidRDefault="00CC2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239" w:hanging="423"/>
      </w:pPr>
      <w:rPr>
        <w:rFonts w:ascii="Arial" w:hAnsi="Arial" w:cs="Arial"/>
        <w:b w:val="0"/>
        <w:bCs w:val="0"/>
        <w:spacing w:val="-2"/>
        <w:w w:val="100"/>
        <w:sz w:val="20"/>
        <w:szCs w:val="20"/>
      </w:rPr>
    </w:lvl>
    <w:lvl w:ilvl="1">
      <w:start w:val="1"/>
      <w:numFmt w:val="decimal"/>
      <w:lvlText w:val="%1.%2"/>
      <w:lvlJc w:val="left"/>
      <w:pPr>
        <w:ind w:left="1667" w:hanging="428"/>
      </w:pPr>
      <w:rPr>
        <w:rFonts w:ascii="Arial" w:hAnsi="Arial" w:cs="Arial"/>
        <w:b w:val="0"/>
        <w:bCs w:val="0"/>
        <w:spacing w:val="-2"/>
        <w:w w:val="100"/>
        <w:sz w:val="20"/>
        <w:szCs w:val="20"/>
      </w:rPr>
    </w:lvl>
    <w:lvl w:ilvl="2">
      <w:numFmt w:val="bullet"/>
      <w:lvlText w:val="•"/>
      <w:lvlJc w:val="left"/>
      <w:pPr>
        <w:ind w:left="2720" w:hanging="428"/>
      </w:pPr>
    </w:lvl>
    <w:lvl w:ilvl="3">
      <w:numFmt w:val="bullet"/>
      <w:lvlText w:val="•"/>
      <w:lvlJc w:val="left"/>
      <w:pPr>
        <w:ind w:left="3781" w:hanging="428"/>
      </w:pPr>
    </w:lvl>
    <w:lvl w:ilvl="4">
      <w:numFmt w:val="bullet"/>
      <w:lvlText w:val="•"/>
      <w:lvlJc w:val="left"/>
      <w:pPr>
        <w:ind w:left="4842" w:hanging="428"/>
      </w:pPr>
    </w:lvl>
    <w:lvl w:ilvl="5">
      <w:numFmt w:val="bullet"/>
      <w:lvlText w:val="•"/>
      <w:lvlJc w:val="left"/>
      <w:pPr>
        <w:ind w:left="5903" w:hanging="428"/>
      </w:pPr>
    </w:lvl>
    <w:lvl w:ilvl="6">
      <w:numFmt w:val="bullet"/>
      <w:lvlText w:val="•"/>
      <w:lvlJc w:val="left"/>
      <w:pPr>
        <w:ind w:left="6964" w:hanging="428"/>
      </w:pPr>
    </w:lvl>
    <w:lvl w:ilvl="7">
      <w:numFmt w:val="bullet"/>
      <w:lvlText w:val="•"/>
      <w:lvlJc w:val="left"/>
      <w:pPr>
        <w:ind w:left="8025" w:hanging="428"/>
      </w:pPr>
    </w:lvl>
    <w:lvl w:ilvl="8">
      <w:numFmt w:val="bullet"/>
      <w:lvlText w:val="•"/>
      <w:lvlJc w:val="left"/>
      <w:pPr>
        <w:ind w:left="9086" w:hanging="428"/>
      </w:pPr>
    </w:lvl>
  </w:abstractNum>
  <w:abstractNum w:abstractNumId="1" w15:restartNumberingAfterBreak="0">
    <w:nsid w:val="00000403"/>
    <w:multiLevelType w:val="multilevel"/>
    <w:tmpl w:val="A664B4C8"/>
    <w:lvl w:ilvl="0">
      <w:start w:val="1"/>
      <w:numFmt w:val="decimal"/>
      <w:lvlText w:val="%1."/>
      <w:lvlJc w:val="left"/>
      <w:pPr>
        <w:ind w:left="675" w:hanging="567"/>
      </w:pPr>
      <w:rPr>
        <w:rFonts w:ascii="Arial" w:hAnsi="Arial" w:cs="Arial"/>
        <w:b/>
        <w:bCs/>
        <w:spacing w:val="0"/>
        <w:w w:val="100"/>
      </w:rPr>
    </w:lvl>
    <w:lvl w:ilvl="1">
      <w:start w:val="1"/>
      <w:numFmt w:val="decimal"/>
      <w:lvlText w:val="%1.%2"/>
      <w:lvlJc w:val="left"/>
      <w:pPr>
        <w:ind w:left="1136" w:hanging="567"/>
      </w:pPr>
      <w:rPr>
        <w:rFonts w:ascii="Arial" w:hAnsi="Arial" w:cs="Arial"/>
        <w:b/>
        <w:bCs/>
        <w:spacing w:val="-2"/>
        <w:w w:val="100"/>
        <w:sz w:val="20"/>
        <w:szCs w:val="20"/>
      </w:rPr>
    </w:lvl>
    <w:lvl w:ilvl="2">
      <w:start w:val="1"/>
      <w:numFmt w:val="decimal"/>
      <w:lvlText w:val="%1.%2.%3"/>
      <w:lvlJc w:val="left"/>
      <w:pPr>
        <w:ind w:left="835" w:hanging="721"/>
      </w:pPr>
      <w:rPr>
        <w:rFonts w:ascii="Arial" w:hAnsi="Arial" w:cs="Arial"/>
        <w:b/>
        <w:bCs/>
        <w:spacing w:val="-2"/>
        <w:w w:val="100"/>
        <w:sz w:val="20"/>
        <w:szCs w:val="20"/>
      </w:rPr>
    </w:lvl>
    <w:lvl w:ilvl="3">
      <w:numFmt w:val="bullet"/>
      <w:lvlText w:val="•"/>
      <w:lvlJc w:val="left"/>
      <w:pPr>
        <w:ind w:left="1242" w:hanging="721"/>
      </w:pPr>
    </w:lvl>
    <w:lvl w:ilvl="4">
      <w:numFmt w:val="bullet"/>
      <w:lvlText w:val="•"/>
      <w:lvlJc w:val="left"/>
      <w:pPr>
        <w:ind w:left="2454" w:hanging="721"/>
      </w:pPr>
    </w:lvl>
    <w:lvl w:ilvl="5">
      <w:numFmt w:val="bullet"/>
      <w:lvlText w:val="•"/>
      <w:lvlJc w:val="left"/>
      <w:pPr>
        <w:ind w:left="3667" w:hanging="721"/>
      </w:pPr>
    </w:lvl>
    <w:lvl w:ilvl="6">
      <w:numFmt w:val="bullet"/>
      <w:lvlText w:val="•"/>
      <w:lvlJc w:val="left"/>
      <w:pPr>
        <w:ind w:left="4880" w:hanging="721"/>
      </w:pPr>
    </w:lvl>
    <w:lvl w:ilvl="7">
      <w:numFmt w:val="bullet"/>
      <w:lvlText w:val="•"/>
      <w:lvlJc w:val="left"/>
      <w:pPr>
        <w:ind w:left="6092" w:hanging="721"/>
      </w:pPr>
    </w:lvl>
    <w:lvl w:ilvl="8">
      <w:numFmt w:val="bullet"/>
      <w:lvlText w:val="•"/>
      <w:lvlJc w:val="left"/>
      <w:pPr>
        <w:ind w:left="7305" w:hanging="721"/>
      </w:pPr>
    </w:lvl>
  </w:abstractNum>
  <w:abstractNum w:abstractNumId="2" w15:restartNumberingAfterBreak="0">
    <w:nsid w:val="009E649A"/>
    <w:multiLevelType w:val="hybridMultilevel"/>
    <w:tmpl w:val="551A3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734A8"/>
    <w:multiLevelType w:val="hybridMultilevel"/>
    <w:tmpl w:val="8376ABC8"/>
    <w:lvl w:ilvl="0" w:tplc="02ACC81C">
      <w:numFmt w:val="bullet"/>
      <w:lvlText w:val="•"/>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7C5925"/>
    <w:multiLevelType w:val="hybridMultilevel"/>
    <w:tmpl w:val="5790C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181888"/>
    <w:multiLevelType w:val="hybridMultilevel"/>
    <w:tmpl w:val="B63A58E0"/>
    <w:lvl w:ilvl="0" w:tplc="02ACC81C">
      <w:numFmt w:val="bullet"/>
      <w:lvlText w:val="•"/>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F333A1"/>
    <w:multiLevelType w:val="hybridMultilevel"/>
    <w:tmpl w:val="C8644844"/>
    <w:lvl w:ilvl="0" w:tplc="02ACC81C">
      <w:numFmt w:val="bullet"/>
      <w:lvlText w:val="•"/>
      <w:lvlJc w:val="left"/>
      <w:pPr>
        <w:ind w:left="1287" w:hanging="360"/>
      </w:pPr>
      <w:rPr>
        <w:rFonts w:hint="default"/>
        <w:color w:val="auto"/>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10D0416C"/>
    <w:multiLevelType w:val="hybridMultilevel"/>
    <w:tmpl w:val="19F67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E602B4"/>
    <w:multiLevelType w:val="hybridMultilevel"/>
    <w:tmpl w:val="88800BF4"/>
    <w:lvl w:ilvl="0" w:tplc="7AFEC666">
      <w:numFmt w:val="bullet"/>
      <w:lvlText w:val="•"/>
      <w:lvlJc w:val="left"/>
      <w:pPr>
        <w:ind w:left="1080" w:hanging="72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A73F23"/>
    <w:multiLevelType w:val="hybridMultilevel"/>
    <w:tmpl w:val="BC687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E6604B"/>
    <w:multiLevelType w:val="hybridMultilevel"/>
    <w:tmpl w:val="DA2684EA"/>
    <w:lvl w:ilvl="0" w:tplc="02ACC81C">
      <w:numFmt w:val="bullet"/>
      <w:lvlText w:val="•"/>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616FD3"/>
    <w:multiLevelType w:val="hybridMultilevel"/>
    <w:tmpl w:val="B1DAAA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9627DD8"/>
    <w:multiLevelType w:val="hybridMultilevel"/>
    <w:tmpl w:val="397CC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490A75"/>
    <w:multiLevelType w:val="multilevel"/>
    <w:tmpl w:val="A1942728"/>
    <w:lvl w:ilvl="0">
      <w:start w:val="5"/>
      <w:numFmt w:val="decimal"/>
      <w:lvlText w:val="%1"/>
      <w:lvlJc w:val="left"/>
      <w:pPr>
        <w:ind w:left="360" w:hanging="360"/>
      </w:pPr>
      <w:rPr>
        <w:rFonts w:hint="default"/>
      </w:rPr>
    </w:lvl>
    <w:lvl w:ilvl="1">
      <w:start w:val="2"/>
      <w:numFmt w:val="decimal"/>
      <w:lvlText w:val="%1.%2"/>
      <w:lvlJc w:val="left"/>
      <w:pPr>
        <w:ind w:left="1033" w:hanging="360"/>
      </w:pPr>
      <w:rPr>
        <w:rFonts w:hint="default"/>
      </w:rPr>
    </w:lvl>
    <w:lvl w:ilvl="2">
      <w:start w:val="1"/>
      <w:numFmt w:val="decimal"/>
      <w:lvlText w:val="%1.%2.%3"/>
      <w:lvlJc w:val="left"/>
      <w:pPr>
        <w:ind w:left="2066" w:hanging="720"/>
      </w:pPr>
      <w:rPr>
        <w:rFonts w:hint="default"/>
      </w:rPr>
    </w:lvl>
    <w:lvl w:ilvl="3">
      <w:start w:val="1"/>
      <w:numFmt w:val="decimal"/>
      <w:lvlText w:val="%1.%2.%3.%4"/>
      <w:lvlJc w:val="left"/>
      <w:pPr>
        <w:ind w:left="2739" w:hanging="720"/>
      </w:pPr>
      <w:rPr>
        <w:rFonts w:hint="default"/>
      </w:rPr>
    </w:lvl>
    <w:lvl w:ilvl="4">
      <w:start w:val="1"/>
      <w:numFmt w:val="decimal"/>
      <w:lvlText w:val="%1.%2.%3.%4.%5"/>
      <w:lvlJc w:val="left"/>
      <w:pPr>
        <w:ind w:left="3772" w:hanging="1080"/>
      </w:pPr>
      <w:rPr>
        <w:rFonts w:hint="default"/>
      </w:rPr>
    </w:lvl>
    <w:lvl w:ilvl="5">
      <w:start w:val="1"/>
      <w:numFmt w:val="decimal"/>
      <w:lvlText w:val="%1.%2.%3.%4.%5.%6"/>
      <w:lvlJc w:val="left"/>
      <w:pPr>
        <w:ind w:left="4445" w:hanging="1080"/>
      </w:pPr>
      <w:rPr>
        <w:rFonts w:hint="default"/>
      </w:rPr>
    </w:lvl>
    <w:lvl w:ilvl="6">
      <w:start w:val="1"/>
      <w:numFmt w:val="decimal"/>
      <w:lvlText w:val="%1.%2.%3.%4.%5.%6.%7"/>
      <w:lvlJc w:val="left"/>
      <w:pPr>
        <w:ind w:left="5478" w:hanging="1440"/>
      </w:pPr>
      <w:rPr>
        <w:rFonts w:hint="default"/>
      </w:rPr>
    </w:lvl>
    <w:lvl w:ilvl="7">
      <w:start w:val="1"/>
      <w:numFmt w:val="decimal"/>
      <w:lvlText w:val="%1.%2.%3.%4.%5.%6.%7.%8"/>
      <w:lvlJc w:val="left"/>
      <w:pPr>
        <w:ind w:left="6151" w:hanging="1440"/>
      </w:pPr>
      <w:rPr>
        <w:rFonts w:hint="default"/>
      </w:rPr>
    </w:lvl>
    <w:lvl w:ilvl="8">
      <w:start w:val="1"/>
      <w:numFmt w:val="decimal"/>
      <w:lvlText w:val="%1.%2.%3.%4.%5.%6.%7.%8.%9"/>
      <w:lvlJc w:val="left"/>
      <w:pPr>
        <w:ind w:left="7184" w:hanging="1800"/>
      </w:pPr>
      <w:rPr>
        <w:rFonts w:hint="default"/>
      </w:rPr>
    </w:lvl>
  </w:abstractNum>
  <w:abstractNum w:abstractNumId="14" w15:restartNumberingAfterBreak="0">
    <w:nsid w:val="1E695BF5"/>
    <w:multiLevelType w:val="hybridMultilevel"/>
    <w:tmpl w:val="416AC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9237A7"/>
    <w:multiLevelType w:val="hybridMultilevel"/>
    <w:tmpl w:val="5ADC3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BD76D6"/>
    <w:multiLevelType w:val="hybridMultilevel"/>
    <w:tmpl w:val="A4340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896C07"/>
    <w:multiLevelType w:val="hybridMultilevel"/>
    <w:tmpl w:val="18A0FF90"/>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34444442"/>
    <w:multiLevelType w:val="hybridMultilevel"/>
    <w:tmpl w:val="A8C65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761EE7"/>
    <w:multiLevelType w:val="hybridMultilevel"/>
    <w:tmpl w:val="6284FF74"/>
    <w:lvl w:ilvl="0" w:tplc="02ACC81C">
      <w:numFmt w:val="bullet"/>
      <w:lvlText w:val="•"/>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33636B"/>
    <w:multiLevelType w:val="hybridMultilevel"/>
    <w:tmpl w:val="73D8B342"/>
    <w:lvl w:ilvl="0" w:tplc="32BCAD00">
      <w:start w:val="5"/>
      <w:numFmt w:val="decimal"/>
      <w:lvlText w:val="%1."/>
      <w:lvlJc w:val="left"/>
      <w:pPr>
        <w:ind w:left="720" w:hanging="360"/>
      </w:pPr>
      <w:rPr>
        <w:rFonts w:ascii="Arial" w:hAnsi="Arial" w:cs="Aria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9181BC5"/>
    <w:multiLevelType w:val="hybridMultilevel"/>
    <w:tmpl w:val="047A136C"/>
    <w:lvl w:ilvl="0" w:tplc="02ACC81C">
      <w:numFmt w:val="bullet"/>
      <w:lvlText w:val="•"/>
      <w:lvlJc w:val="left"/>
      <w:pPr>
        <w:ind w:left="1287" w:hanging="360"/>
      </w:pPr>
      <w:rPr>
        <w:rFonts w:hint="default"/>
        <w:color w:val="auto"/>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3B1E3558"/>
    <w:multiLevelType w:val="hybridMultilevel"/>
    <w:tmpl w:val="E5904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652F2A"/>
    <w:multiLevelType w:val="hybridMultilevel"/>
    <w:tmpl w:val="181AF8B4"/>
    <w:lvl w:ilvl="0" w:tplc="D39A4786">
      <w:numFmt w:val="bullet"/>
      <w:lvlText w:val="●"/>
      <w:lvlJc w:val="left"/>
      <w:pPr>
        <w:ind w:left="520" w:hanging="300"/>
      </w:pPr>
      <w:rPr>
        <w:rFonts w:ascii="Microsoft Sans Serif" w:eastAsia="Microsoft Sans Serif" w:hAnsi="Microsoft Sans Serif" w:cs="Microsoft Sans Serif" w:hint="default"/>
        <w:b w:val="0"/>
        <w:bCs w:val="0"/>
        <w:i w:val="0"/>
        <w:iCs w:val="0"/>
        <w:w w:val="100"/>
        <w:position w:val="5"/>
        <w:sz w:val="18"/>
        <w:szCs w:val="18"/>
        <w:lang w:val="en-US" w:eastAsia="en-US" w:bidi="ar-SA"/>
      </w:rPr>
    </w:lvl>
    <w:lvl w:ilvl="1" w:tplc="529E09B8">
      <w:numFmt w:val="bullet"/>
      <w:lvlText w:val="•"/>
      <w:lvlJc w:val="left"/>
      <w:pPr>
        <w:ind w:left="1554" w:hanging="300"/>
      </w:pPr>
      <w:rPr>
        <w:rFonts w:hint="default"/>
        <w:lang w:val="en-US" w:eastAsia="en-US" w:bidi="ar-SA"/>
      </w:rPr>
    </w:lvl>
    <w:lvl w:ilvl="2" w:tplc="4E360506">
      <w:numFmt w:val="bullet"/>
      <w:lvlText w:val="•"/>
      <w:lvlJc w:val="left"/>
      <w:pPr>
        <w:ind w:left="2588" w:hanging="300"/>
      </w:pPr>
      <w:rPr>
        <w:rFonts w:hint="default"/>
        <w:lang w:val="en-US" w:eastAsia="en-US" w:bidi="ar-SA"/>
      </w:rPr>
    </w:lvl>
    <w:lvl w:ilvl="3" w:tplc="27B23634">
      <w:numFmt w:val="bullet"/>
      <w:lvlText w:val="•"/>
      <w:lvlJc w:val="left"/>
      <w:pPr>
        <w:ind w:left="3622" w:hanging="300"/>
      </w:pPr>
      <w:rPr>
        <w:rFonts w:hint="default"/>
        <w:lang w:val="en-US" w:eastAsia="en-US" w:bidi="ar-SA"/>
      </w:rPr>
    </w:lvl>
    <w:lvl w:ilvl="4" w:tplc="CA0A764A">
      <w:numFmt w:val="bullet"/>
      <w:lvlText w:val="•"/>
      <w:lvlJc w:val="left"/>
      <w:pPr>
        <w:ind w:left="4656" w:hanging="300"/>
      </w:pPr>
      <w:rPr>
        <w:rFonts w:hint="default"/>
        <w:lang w:val="en-US" w:eastAsia="en-US" w:bidi="ar-SA"/>
      </w:rPr>
    </w:lvl>
    <w:lvl w:ilvl="5" w:tplc="64A454E0">
      <w:numFmt w:val="bullet"/>
      <w:lvlText w:val="•"/>
      <w:lvlJc w:val="left"/>
      <w:pPr>
        <w:ind w:left="5690" w:hanging="300"/>
      </w:pPr>
      <w:rPr>
        <w:rFonts w:hint="default"/>
        <w:lang w:val="en-US" w:eastAsia="en-US" w:bidi="ar-SA"/>
      </w:rPr>
    </w:lvl>
    <w:lvl w:ilvl="6" w:tplc="86FCF3C4">
      <w:numFmt w:val="bullet"/>
      <w:lvlText w:val="•"/>
      <w:lvlJc w:val="left"/>
      <w:pPr>
        <w:ind w:left="6724" w:hanging="300"/>
      </w:pPr>
      <w:rPr>
        <w:rFonts w:hint="default"/>
        <w:lang w:val="en-US" w:eastAsia="en-US" w:bidi="ar-SA"/>
      </w:rPr>
    </w:lvl>
    <w:lvl w:ilvl="7" w:tplc="2892F758">
      <w:numFmt w:val="bullet"/>
      <w:lvlText w:val="•"/>
      <w:lvlJc w:val="left"/>
      <w:pPr>
        <w:ind w:left="7758" w:hanging="300"/>
      </w:pPr>
      <w:rPr>
        <w:rFonts w:hint="default"/>
        <w:lang w:val="en-US" w:eastAsia="en-US" w:bidi="ar-SA"/>
      </w:rPr>
    </w:lvl>
    <w:lvl w:ilvl="8" w:tplc="7E18F73E">
      <w:numFmt w:val="bullet"/>
      <w:lvlText w:val="•"/>
      <w:lvlJc w:val="left"/>
      <w:pPr>
        <w:ind w:left="8792" w:hanging="300"/>
      </w:pPr>
      <w:rPr>
        <w:rFonts w:hint="default"/>
        <w:lang w:val="en-US" w:eastAsia="en-US" w:bidi="ar-SA"/>
      </w:rPr>
    </w:lvl>
  </w:abstractNum>
  <w:abstractNum w:abstractNumId="24" w15:restartNumberingAfterBreak="0">
    <w:nsid w:val="3DF93934"/>
    <w:multiLevelType w:val="hybridMultilevel"/>
    <w:tmpl w:val="6C603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C24632"/>
    <w:multiLevelType w:val="multilevel"/>
    <w:tmpl w:val="526EB852"/>
    <w:lvl w:ilvl="0">
      <w:start w:val="1"/>
      <w:numFmt w:val="decimal"/>
      <w:lvlText w:val="%1."/>
      <w:lvlJc w:val="left"/>
      <w:pPr>
        <w:ind w:left="466" w:hanging="360"/>
      </w:pPr>
      <w:rPr>
        <w:rFonts w:hint="default"/>
      </w:rPr>
    </w:lvl>
    <w:lvl w:ilvl="1">
      <w:start w:val="4"/>
      <w:numFmt w:val="decimal"/>
      <w:isLgl/>
      <w:lvlText w:val="%1.%2"/>
      <w:lvlJc w:val="left"/>
      <w:pPr>
        <w:ind w:left="466" w:hanging="360"/>
      </w:pPr>
      <w:rPr>
        <w:rFonts w:hint="default"/>
      </w:rPr>
    </w:lvl>
    <w:lvl w:ilvl="2">
      <w:start w:val="1"/>
      <w:numFmt w:val="decimal"/>
      <w:isLgl/>
      <w:lvlText w:val="%1.%2.%3"/>
      <w:lvlJc w:val="left"/>
      <w:pPr>
        <w:ind w:left="826" w:hanging="720"/>
      </w:pPr>
      <w:rPr>
        <w:rFonts w:hint="default"/>
      </w:rPr>
    </w:lvl>
    <w:lvl w:ilvl="3">
      <w:start w:val="1"/>
      <w:numFmt w:val="decimal"/>
      <w:isLgl/>
      <w:lvlText w:val="%1.%2.%3.%4"/>
      <w:lvlJc w:val="left"/>
      <w:pPr>
        <w:ind w:left="826" w:hanging="720"/>
      </w:pPr>
      <w:rPr>
        <w:rFonts w:hint="default"/>
      </w:rPr>
    </w:lvl>
    <w:lvl w:ilvl="4">
      <w:start w:val="1"/>
      <w:numFmt w:val="decimal"/>
      <w:isLgl/>
      <w:lvlText w:val="%1.%2.%3.%4.%5"/>
      <w:lvlJc w:val="left"/>
      <w:pPr>
        <w:ind w:left="1186" w:hanging="1080"/>
      </w:pPr>
      <w:rPr>
        <w:rFonts w:hint="default"/>
      </w:rPr>
    </w:lvl>
    <w:lvl w:ilvl="5">
      <w:start w:val="1"/>
      <w:numFmt w:val="decimal"/>
      <w:isLgl/>
      <w:lvlText w:val="%1.%2.%3.%4.%5.%6"/>
      <w:lvlJc w:val="left"/>
      <w:pPr>
        <w:ind w:left="1186" w:hanging="1080"/>
      </w:pPr>
      <w:rPr>
        <w:rFonts w:hint="default"/>
      </w:rPr>
    </w:lvl>
    <w:lvl w:ilvl="6">
      <w:start w:val="1"/>
      <w:numFmt w:val="decimal"/>
      <w:isLgl/>
      <w:lvlText w:val="%1.%2.%3.%4.%5.%6.%7"/>
      <w:lvlJc w:val="left"/>
      <w:pPr>
        <w:ind w:left="1546" w:hanging="1440"/>
      </w:pPr>
      <w:rPr>
        <w:rFonts w:hint="default"/>
      </w:rPr>
    </w:lvl>
    <w:lvl w:ilvl="7">
      <w:start w:val="1"/>
      <w:numFmt w:val="decimal"/>
      <w:isLgl/>
      <w:lvlText w:val="%1.%2.%3.%4.%5.%6.%7.%8"/>
      <w:lvlJc w:val="left"/>
      <w:pPr>
        <w:ind w:left="1546" w:hanging="1440"/>
      </w:pPr>
      <w:rPr>
        <w:rFonts w:hint="default"/>
      </w:rPr>
    </w:lvl>
    <w:lvl w:ilvl="8">
      <w:start w:val="1"/>
      <w:numFmt w:val="decimal"/>
      <w:isLgl/>
      <w:lvlText w:val="%1.%2.%3.%4.%5.%6.%7.%8.%9"/>
      <w:lvlJc w:val="left"/>
      <w:pPr>
        <w:ind w:left="1906" w:hanging="1800"/>
      </w:pPr>
      <w:rPr>
        <w:rFonts w:hint="default"/>
      </w:rPr>
    </w:lvl>
  </w:abstractNum>
  <w:abstractNum w:abstractNumId="26" w15:restartNumberingAfterBreak="0">
    <w:nsid w:val="3FD21C3A"/>
    <w:multiLevelType w:val="hybridMultilevel"/>
    <w:tmpl w:val="1DCCA090"/>
    <w:lvl w:ilvl="0" w:tplc="02ACC81C">
      <w:numFmt w:val="bullet"/>
      <w:lvlText w:val="•"/>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BD719B"/>
    <w:multiLevelType w:val="multilevel"/>
    <w:tmpl w:val="291EBF98"/>
    <w:lvl w:ilvl="0">
      <w:start w:val="6"/>
      <w:numFmt w:val="decimal"/>
      <w:lvlText w:val="%1"/>
      <w:lvlJc w:val="left"/>
      <w:pPr>
        <w:ind w:left="435" w:hanging="435"/>
      </w:pPr>
      <w:rPr>
        <w:rFonts w:hint="default"/>
      </w:rPr>
    </w:lvl>
    <w:lvl w:ilvl="1">
      <w:start w:val="8"/>
      <w:numFmt w:val="decimal"/>
      <w:lvlText w:val="%1.%2"/>
      <w:lvlJc w:val="left"/>
      <w:pPr>
        <w:ind w:left="795" w:hanging="43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8942A18"/>
    <w:multiLevelType w:val="hybridMultilevel"/>
    <w:tmpl w:val="09C2AD50"/>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4F485193"/>
    <w:multiLevelType w:val="hybridMultilevel"/>
    <w:tmpl w:val="91C499D2"/>
    <w:lvl w:ilvl="0" w:tplc="F3CA2DF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FDF6B72"/>
    <w:multiLevelType w:val="hybridMultilevel"/>
    <w:tmpl w:val="6728C41A"/>
    <w:lvl w:ilvl="0" w:tplc="02ACC81C">
      <w:numFmt w:val="bullet"/>
      <w:lvlText w:val="•"/>
      <w:lvlJc w:val="left"/>
      <w:pPr>
        <w:ind w:left="1004" w:hanging="360"/>
      </w:pPr>
      <w:rPr>
        <w:rFonts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15:restartNumberingAfterBreak="0">
    <w:nsid w:val="54896426"/>
    <w:multiLevelType w:val="hybridMultilevel"/>
    <w:tmpl w:val="CA387C3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6D48EE"/>
    <w:multiLevelType w:val="hybridMultilevel"/>
    <w:tmpl w:val="3D7E71AA"/>
    <w:lvl w:ilvl="0" w:tplc="0C090001">
      <w:start w:val="1"/>
      <w:numFmt w:val="bullet"/>
      <w:lvlText w:val=""/>
      <w:lvlJc w:val="left"/>
      <w:pPr>
        <w:ind w:left="1033" w:hanging="360"/>
      </w:pPr>
      <w:rPr>
        <w:rFonts w:ascii="Symbol" w:hAnsi="Symbol" w:hint="default"/>
      </w:rPr>
    </w:lvl>
    <w:lvl w:ilvl="1" w:tplc="0C090003" w:tentative="1">
      <w:start w:val="1"/>
      <w:numFmt w:val="bullet"/>
      <w:lvlText w:val="o"/>
      <w:lvlJc w:val="left"/>
      <w:pPr>
        <w:ind w:left="1753" w:hanging="360"/>
      </w:pPr>
      <w:rPr>
        <w:rFonts w:ascii="Courier New" w:hAnsi="Courier New" w:cs="Courier New" w:hint="default"/>
      </w:rPr>
    </w:lvl>
    <w:lvl w:ilvl="2" w:tplc="0C090005" w:tentative="1">
      <w:start w:val="1"/>
      <w:numFmt w:val="bullet"/>
      <w:lvlText w:val=""/>
      <w:lvlJc w:val="left"/>
      <w:pPr>
        <w:ind w:left="2473" w:hanging="360"/>
      </w:pPr>
      <w:rPr>
        <w:rFonts w:ascii="Wingdings" w:hAnsi="Wingdings" w:hint="default"/>
      </w:rPr>
    </w:lvl>
    <w:lvl w:ilvl="3" w:tplc="0C090001" w:tentative="1">
      <w:start w:val="1"/>
      <w:numFmt w:val="bullet"/>
      <w:lvlText w:val=""/>
      <w:lvlJc w:val="left"/>
      <w:pPr>
        <w:ind w:left="3193" w:hanging="360"/>
      </w:pPr>
      <w:rPr>
        <w:rFonts w:ascii="Symbol" w:hAnsi="Symbol" w:hint="default"/>
      </w:rPr>
    </w:lvl>
    <w:lvl w:ilvl="4" w:tplc="0C090003" w:tentative="1">
      <w:start w:val="1"/>
      <w:numFmt w:val="bullet"/>
      <w:lvlText w:val="o"/>
      <w:lvlJc w:val="left"/>
      <w:pPr>
        <w:ind w:left="3913" w:hanging="360"/>
      </w:pPr>
      <w:rPr>
        <w:rFonts w:ascii="Courier New" w:hAnsi="Courier New" w:cs="Courier New" w:hint="default"/>
      </w:rPr>
    </w:lvl>
    <w:lvl w:ilvl="5" w:tplc="0C090005" w:tentative="1">
      <w:start w:val="1"/>
      <w:numFmt w:val="bullet"/>
      <w:lvlText w:val=""/>
      <w:lvlJc w:val="left"/>
      <w:pPr>
        <w:ind w:left="4633" w:hanging="360"/>
      </w:pPr>
      <w:rPr>
        <w:rFonts w:ascii="Wingdings" w:hAnsi="Wingdings" w:hint="default"/>
      </w:rPr>
    </w:lvl>
    <w:lvl w:ilvl="6" w:tplc="0C090001" w:tentative="1">
      <w:start w:val="1"/>
      <w:numFmt w:val="bullet"/>
      <w:lvlText w:val=""/>
      <w:lvlJc w:val="left"/>
      <w:pPr>
        <w:ind w:left="5353" w:hanging="360"/>
      </w:pPr>
      <w:rPr>
        <w:rFonts w:ascii="Symbol" w:hAnsi="Symbol" w:hint="default"/>
      </w:rPr>
    </w:lvl>
    <w:lvl w:ilvl="7" w:tplc="0C090003" w:tentative="1">
      <w:start w:val="1"/>
      <w:numFmt w:val="bullet"/>
      <w:lvlText w:val="o"/>
      <w:lvlJc w:val="left"/>
      <w:pPr>
        <w:ind w:left="6073" w:hanging="360"/>
      </w:pPr>
      <w:rPr>
        <w:rFonts w:ascii="Courier New" w:hAnsi="Courier New" w:cs="Courier New" w:hint="default"/>
      </w:rPr>
    </w:lvl>
    <w:lvl w:ilvl="8" w:tplc="0C090005" w:tentative="1">
      <w:start w:val="1"/>
      <w:numFmt w:val="bullet"/>
      <w:lvlText w:val=""/>
      <w:lvlJc w:val="left"/>
      <w:pPr>
        <w:ind w:left="6793" w:hanging="360"/>
      </w:pPr>
      <w:rPr>
        <w:rFonts w:ascii="Wingdings" w:hAnsi="Wingdings" w:hint="default"/>
      </w:rPr>
    </w:lvl>
  </w:abstractNum>
  <w:abstractNum w:abstractNumId="33" w15:restartNumberingAfterBreak="0">
    <w:nsid w:val="5FCF433A"/>
    <w:multiLevelType w:val="hybridMultilevel"/>
    <w:tmpl w:val="7CF2C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4016B5"/>
    <w:multiLevelType w:val="hybridMultilevel"/>
    <w:tmpl w:val="8E2A5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791B2A"/>
    <w:multiLevelType w:val="hybridMultilevel"/>
    <w:tmpl w:val="A4165D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9A556E"/>
    <w:multiLevelType w:val="hybridMultilevel"/>
    <w:tmpl w:val="2FBCA138"/>
    <w:lvl w:ilvl="0" w:tplc="02ACC81C">
      <w:numFmt w:val="bullet"/>
      <w:lvlText w:val="•"/>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A26E80"/>
    <w:multiLevelType w:val="hybridMultilevel"/>
    <w:tmpl w:val="093EF21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8" w15:restartNumberingAfterBreak="0">
    <w:nsid w:val="72213459"/>
    <w:multiLevelType w:val="hybridMultilevel"/>
    <w:tmpl w:val="E4289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856409"/>
    <w:multiLevelType w:val="hybridMultilevel"/>
    <w:tmpl w:val="E23CB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F74D70"/>
    <w:multiLevelType w:val="multilevel"/>
    <w:tmpl w:val="3044FDBE"/>
    <w:lvl w:ilvl="0">
      <w:start w:val="5"/>
      <w:numFmt w:val="decimal"/>
      <w:lvlText w:val="%1"/>
      <w:lvlJc w:val="left"/>
      <w:pPr>
        <w:ind w:left="360" w:hanging="360"/>
      </w:pPr>
      <w:rPr>
        <w:rFonts w:hint="default"/>
      </w:rPr>
    </w:lvl>
    <w:lvl w:ilvl="1">
      <w:start w:val="3"/>
      <w:numFmt w:val="decimal"/>
      <w:lvlText w:val="%1.%2"/>
      <w:lvlJc w:val="left"/>
      <w:pPr>
        <w:ind w:left="1033" w:hanging="360"/>
      </w:pPr>
      <w:rPr>
        <w:rFonts w:hint="default"/>
      </w:rPr>
    </w:lvl>
    <w:lvl w:ilvl="2">
      <w:start w:val="1"/>
      <w:numFmt w:val="decimal"/>
      <w:lvlText w:val="%1.%2.%3"/>
      <w:lvlJc w:val="left"/>
      <w:pPr>
        <w:ind w:left="2066" w:hanging="720"/>
      </w:pPr>
      <w:rPr>
        <w:rFonts w:hint="default"/>
      </w:rPr>
    </w:lvl>
    <w:lvl w:ilvl="3">
      <w:start w:val="1"/>
      <w:numFmt w:val="decimal"/>
      <w:lvlText w:val="%1.%2.%3.%4"/>
      <w:lvlJc w:val="left"/>
      <w:pPr>
        <w:ind w:left="2739" w:hanging="720"/>
      </w:pPr>
      <w:rPr>
        <w:rFonts w:hint="default"/>
      </w:rPr>
    </w:lvl>
    <w:lvl w:ilvl="4">
      <w:start w:val="1"/>
      <w:numFmt w:val="decimal"/>
      <w:lvlText w:val="%1.%2.%3.%4.%5"/>
      <w:lvlJc w:val="left"/>
      <w:pPr>
        <w:ind w:left="3772" w:hanging="1080"/>
      </w:pPr>
      <w:rPr>
        <w:rFonts w:hint="default"/>
      </w:rPr>
    </w:lvl>
    <w:lvl w:ilvl="5">
      <w:start w:val="1"/>
      <w:numFmt w:val="decimal"/>
      <w:lvlText w:val="%1.%2.%3.%4.%5.%6"/>
      <w:lvlJc w:val="left"/>
      <w:pPr>
        <w:ind w:left="4445" w:hanging="1080"/>
      </w:pPr>
      <w:rPr>
        <w:rFonts w:hint="default"/>
      </w:rPr>
    </w:lvl>
    <w:lvl w:ilvl="6">
      <w:start w:val="1"/>
      <w:numFmt w:val="decimal"/>
      <w:lvlText w:val="%1.%2.%3.%4.%5.%6.%7"/>
      <w:lvlJc w:val="left"/>
      <w:pPr>
        <w:ind w:left="5478" w:hanging="1440"/>
      </w:pPr>
      <w:rPr>
        <w:rFonts w:hint="default"/>
      </w:rPr>
    </w:lvl>
    <w:lvl w:ilvl="7">
      <w:start w:val="1"/>
      <w:numFmt w:val="decimal"/>
      <w:lvlText w:val="%1.%2.%3.%4.%5.%6.%7.%8"/>
      <w:lvlJc w:val="left"/>
      <w:pPr>
        <w:ind w:left="6151" w:hanging="1440"/>
      </w:pPr>
      <w:rPr>
        <w:rFonts w:hint="default"/>
      </w:rPr>
    </w:lvl>
    <w:lvl w:ilvl="8">
      <w:start w:val="1"/>
      <w:numFmt w:val="decimal"/>
      <w:lvlText w:val="%1.%2.%3.%4.%5.%6.%7.%8.%9"/>
      <w:lvlJc w:val="left"/>
      <w:pPr>
        <w:ind w:left="7184" w:hanging="1800"/>
      </w:pPr>
      <w:rPr>
        <w:rFonts w:hint="default"/>
      </w:rPr>
    </w:lvl>
  </w:abstractNum>
  <w:abstractNum w:abstractNumId="41" w15:restartNumberingAfterBreak="0">
    <w:nsid w:val="7A612A0C"/>
    <w:multiLevelType w:val="hybridMultilevel"/>
    <w:tmpl w:val="A564588C"/>
    <w:lvl w:ilvl="0" w:tplc="02ACC81C">
      <w:numFmt w:val="bullet"/>
      <w:lvlText w:val="•"/>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FD601E"/>
    <w:multiLevelType w:val="hybridMultilevel"/>
    <w:tmpl w:val="46C20A3C"/>
    <w:lvl w:ilvl="0" w:tplc="02ACC81C">
      <w:numFmt w:val="bullet"/>
      <w:lvlText w:val="•"/>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9393583">
    <w:abstractNumId w:val="1"/>
  </w:num>
  <w:num w:numId="2" w16cid:durableId="592475114">
    <w:abstractNumId w:val="0"/>
  </w:num>
  <w:num w:numId="3" w16cid:durableId="1122722956">
    <w:abstractNumId w:val="6"/>
  </w:num>
  <w:num w:numId="4" w16cid:durableId="1204093642">
    <w:abstractNumId w:val="21"/>
  </w:num>
  <w:num w:numId="5" w16cid:durableId="2118719243">
    <w:abstractNumId w:val="41"/>
  </w:num>
  <w:num w:numId="6" w16cid:durableId="1802503039">
    <w:abstractNumId w:val="40"/>
  </w:num>
  <w:num w:numId="7" w16cid:durableId="1720015134">
    <w:abstractNumId w:val="13"/>
  </w:num>
  <w:num w:numId="8" w16cid:durableId="469053673">
    <w:abstractNumId w:val="5"/>
  </w:num>
  <w:num w:numId="9" w16cid:durableId="1724257895">
    <w:abstractNumId w:val="10"/>
  </w:num>
  <w:num w:numId="10" w16cid:durableId="537357256">
    <w:abstractNumId w:val="30"/>
  </w:num>
  <w:num w:numId="11" w16cid:durableId="589117859">
    <w:abstractNumId w:val="27"/>
  </w:num>
  <w:num w:numId="12" w16cid:durableId="662047989">
    <w:abstractNumId w:val="3"/>
  </w:num>
  <w:num w:numId="13" w16cid:durableId="799886213">
    <w:abstractNumId w:val="36"/>
  </w:num>
  <w:num w:numId="14" w16cid:durableId="590938266">
    <w:abstractNumId w:val="26"/>
  </w:num>
  <w:num w:numId="15" w16cid:durableId="557009514">
    <w:abstractNumId w:val="42"/>
  </w:num>
  <w:num w:numId="16" w16cid:durableId="2010400644">
    <w:abstractNumId w:val="19"/>
  </w:num>
  <w:num w:numId="17" w16cid:durableId="1527986472">
    <w:abstractNumId w:val="20"/>
  </w:num>
  <w:num w:numId="18" w16cid:durableId="538275607">
    <w:abstractNumId w:val="7"/>
  </w:num>
  <w:num w:numId="19" w16cid:durableId="1856654730">
    <w:abstractNumId w:val="16"/>
  </w:num>
  <w:num w:numId="20" w16cid:durableId="1964263295">
    <w:abstractNumId w:val="9"/>
  </w:num>
  <w:num w:numId="21" w16cid:durableId="1272741235">
    <w:abstractNumId w:val="4"/>
  </w:num>
  <w:num w:numId="22" w16cid:durableId="1170604127">
    <w:abstractNumId w:val="33"/>
  </w:num>
  <w:num w:numId="23" w16cid:durableId="1575121655">
    <w:abstractNumId w:val="32"/>
  </w:num>
  <w:num w:numId="24" w16cid:durableId="672992054">
    <w:abstractNumId w:val="18"/>
  </w:num>
  <w:num w:numId="25" w16cid:durableId="173879588">
    <w:abstractNumId w:val="35"/>
  </w:num>
  <w:num w:numId="26" w16cid:durableId="1300502769">
    <w:abstractNumId w:val="29"/>
  </w:num>
  <w:num w:numId="27" w16cid:durableId="1040980771">
    <w:abstractNumId w:val="23"/>
  </w:num>
  <w:num w:numId="28" w16cid:durableId="85620085">
    <w:abstractNumId w:val="22"/>
  </w:num>
  <w:num w:numId="29" w16cid:durableId="1715541038">
    <w:abstractNumId w:val="11"/>
  </w:num>
  <w:num w:numId="30" w16cid:durableId="1578854706">
    <w:abstractNumId w:val="25"/>
  </w:num>
  <w:num w:numId="31" w16cid:durableId="318702619">
    <w:abstractNumId w:val="15"/>
  </w:num>
  <w:num w:numId="32" w16cid:durableId="1234850797">
    <w:abstractNumId w:val="38"/>
  </w:num>
  <w:num w:numId="33" w16cid:durableId="1068454208">
    <w:abstractNumId w:val="8"/>
  </w:num>
  <w:num w:numId="34" w16cid:durableId="1962835190">
    <w:abstractNumId w:val="28"/>
  </w:num>
  <w:num w:numId="35" w16cid:durableId="2001498637">
    <w:abstractNumId w:val="17"/>
  </w:num>
  <w:num w:numId="36" w16cid:durableId="1240871781">
    <w:abstractNumId w:val="31"/>
  </w:num>
  <w:num w:numId="37" w16cid:durableId="1317613877">
    <w:abstractNumId w:val="34"/>
  </w:num>
  <w:num w:numId="38" w16cid:durableId="391924329">
    <w:abstractNumId w:val="37"/>
  </w:num>
  <w:num w:numId="39" w16cid:durableId="438529198">
    <w:abstractNumId w:val="24"/>
  </w:num>
  <w:num w:numId="40" w16cid:durableId="1754937657">
    <w:abstractNumId w:val="2"/>
  </w:num>
  <w:num w:numId="41" w16cid:durableId="2048487123">
    <w:abstractNumId w:val="39"/>
  </w:num>
  <w:num w:numId="42" w16cid:durableId="893124868">
    <w:abstractNumId w:val="12"/>
  </w:num>
  <w:num w:numId="43" w16cid:durableId="711617660">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F4C"/>
    <w:rsid w:val="00000D7D"/>
    <w:rsid w:val="00003770"/>
    <w:rsid w:val="00005EBA"/>
    <w:rsid w:val="00011EAC"/>
    <w:rsid w:val="000133F3"/>
    <w:rsid w:val="00015143"/>
    <w:rsid w:val="000161FE"/>
    <w:rsid w:val="00016577"/>
    <w:rsid w:val="00016CA3"/>
    <w:rsid w:val="0001748F"/>
    <w:rsid w:val="000211BC"/>
    <w:rsid w:val="00022226"/>
    <w:rsid w:val="00023569"/>
    <w:rsid w:val="00030245"/>
    <w:rsid w:val="000305CA"/>
    <w:rsid w:val="00033C29"/>
    <w:rsid w:val="00036566"/>
    <w:rsid w:val="00037DB9"/>
    <w:rsid w:val="00045A61"/>
    <w:rsid w:val="00045C09"/>
    <w:rsid w:val="00047F11"/>
    <w:rsid w:val="00050EDF"/>
    <w:rsid w:val="000520ED"/>
    <w:rsid w:val="00054D52"/>
    <w:rsid w:val="00060864"/>
    <w:rsid w:val="000632A1"/>
    <w:rsid w:val="000708A1"/>
    <w:rsid w:val="000739D3"/>
    <w:rsid w:val="00073C4D"/>
    <w:rsid w:val="00075BCA"/>
    <w:rsid w:val="0007716A"/>
    <w:rsid w:val="00081659"/>
    <w:rsid w:val="0008291D"/>
    <w:rsid w:val="000832B7"/>
    <w:rsid w:val="00083776"/>
    <w:rsid w:val="00085680"/>
    <w:rsid w:val="00085E7B"/>
    <w:rsid w:val="00086EEA"/>
    <w:rsid w:val="00093018"/>
    <w:rsid w:val="00094ACC"/>
    <w:rsid w:val="00094E35"/>
    <w:rsid w:val="00096314"/>
    <w:rsid w:val="000965FC"/>
    <w:rsid w:val="000968CC"/>
    <w:rsid w:val="000978CD"/>
    <w:rsid w:val="000A32B6"/>
    <w:rsid w:val="000A3D6B"/>
    <w:rsid w:val="000A5C75"/>
    <w:rsid w:val="000A5E68"/>
    <w:rsid w:val="000A71A2"/>
    <w:rsid w:val="000A7348"/>
    <w:rsid w:val="000B1CC8"/>
    <w:rsid w:val="000B3687"/>
    <w:rsid w:val="000B629B"/>
    <w:rsid w:val="000B7ECB"/>
    <w:rsid w:val="000C134C"/>
    <w:rsid w:val="000C176D"/>
    <w:rsid w:val="000C22DE"/>
    <w:rsid w:val="000C3183"/>
    <w:rsid w:val="000C3884"/>
    <w:rsid w:val="000C3BC4"/>
    <w:rsid w:val="000C5940"/>
    <w:rsid w:val="000D0023"/>
    <w:rsid w:val="000D0734"/>
    <w:rsid w:val="000D439A"/>
    <w:rsid w:val="000D59BE"/>
    <w:rsid w:val="000D5EFD"/>
    <w:rsid w:val="000D603E"/>
    <w:rsid w:val="000D7535"/>
    <w:rsid w:val="000E03D6"/>
    <w:rsid w:val="000E17E9"/>
    <w:rsid w:val="000E2746"/>
    <w:rsid w:val="000E37AC"/>
    <w:rsid w:val="000E3D95"/>
    <w:rsid w:val="000E741D"/>
    <w:rsid w:val="000E748A"/>
    <w:rsid w:val="000F0276"/>
    <w:rsid w:val="000F1223"/>
    <w:rsid w:val="000F155E"/>
    <w:rsid w:val="000F23B5"/>
    <w:rsid w:val="000F3BE1"/>
    <w:rsid w:val="000F3CBB"/>
    <w:rsid w:val="000F46C5"/>
    <w:rsid w:val="000F4ABA"/>
    <w:rsid w:val="000F7BCD"/>
    <w:rsid w:val="00100C5D"/>
    <w:rsid w:val="00101057"/>
    <w:rsid w:val="00104AE4"/>
    <w:rsid w:val="00106ABA"/>
    <w:rsid w:val="00107D2C"/>
    <w:rsid w:val="00112455"/>
    <w:rsid w:val="00113DD9"/>
    <w:rsid w:val="00117C84"/>
    <w:rsid w:val="00121888"/>
    <w:rsid w:val="00122BFC"/>
    <w:rsid w:val="001231A0"/>
    <w:rsid w:val="00124523"/>
    <w:rsid w:val="00124B0C"/>
    <w:rsid w:val="00126ABF"/>
    <w:rsid w:val="0013104A"/>
    <w:rsid w:val="001334D8"/>
    <w:rsid w:val="00134E5E"/>
    <w:rsid w:val="00152501"/>
    <w:rsid w:val="00152B7F"/>
    <w:rsid w:val="001549B7"/>
    <w:rsid w:val="00160826"/>
    <w:rsid w:val="00164D4A"/>
    <w:rsid w:val="00166F41"/>
    <w:rsid w:val="00167E7C"/>
    <w:rsid w:val="001726A9"/>
    <w:rsid w:val="00173FA2"/>
    <w:rsid w:val="00177208"/>
    <w:rsid w:val="00182BD7"/>
    <w:rsid w:val="001839DE"/>
    <w:rsid w:val="00184772"/>
    <w:rsid w:val="001853A5"/>
    <w:rsid w:val="001855AA"/>
    <w:rsid w:val="001876D5"/>
    <w:rsid w:val="00192614"/>
    <w:rsid w:val="00192E1E"/>
    <w:rsid w:val="001939DE"/>
    <w:rsid w:val="001A2BE6"/>
    <w:rsid w:val="001A4FE4"/>
    <w:rsid w:val="001A55DD"/>
    <w:rsid w:val="001A581E"/>
    <w:rsid w:val="001A6D0C"/>
    <w:rsid w:val="001A77B7"/>
    <w:rsid w:val="001B0EB9"/>
    <w:rsid w:val="001B3CA1"/>
    <w:rsid w:val="001B6090"/>
    <w:rsid w:val="001C0C5A"/>
    <w:rsid w:val="001C148E"/>
    <w:rsid w:val="001C1D61"/>
    <w:rsid w:val="001C26C6"/>
    <w:rsid w:val="001C3159"/>
    <w:rsid w:val="001C321B"/>
    <w:rsid w:val="001C3EAF"/>
    <w:rsid w:val="001C410B"/>
    <w:rsid w:val="001C7FA9"/>
    <w:rsid w:val="001D0B49"/>
    <w:rsid w:val="001D262C"/>
    <w:rsid w:val="001D362B"/>
    <w:rsid w:val="001D4534"/>
    <w:rsid w:val="001E05F3"/>
    <w:rsid w:val="001E0669"/>
    <w:rsid w:val="001E4107"/>
    <w:rsid w:val="001F4BC0"/>
    <w:rsid w:val="001F7030"/>
    <w:rsid w:val="00200801"/>
    <w:rsid w:val="00200EBB"/>
    <w:rsid w:val="00201252"/>
    <w:rsid w:val="00201AA4"/>
    <w:rsid w:val="00201BEB"/>
    <w:rsid w:val="0020387D"/>
    <w:rsid w:val="00203F74"/>
    <w:rsid w:val="002128CD"/>
    <w:rsid w:val="00223393"/>
    <w:rsid w:val="0022433E"/>
    <w:rsid w:val="00232195"/>
    <w:rsid w:val="00234DA6"/>
    <w:rsid w:val="0023520D"/>
    <w:rsid w:val="002353DF"/>
    <w:rsid w:val="00235F06"/>
    <w:rsid w:val="00240DF6"/>
    <w:rsid w:val="00243EAD"/>
    <w:rsid w:val="002447F6"/>
    <w:rsid w:val="00244C60"/>
    <w:rsid w:val="0024682A"/>
    <w:rsid w:val="00247ECF"/>
    <w:rsid w:val="00255225"/>
    <w:rsid w:val="00260C50"/>
    <w:rsid w:val="002617D7"/>
    <w:rsid w:val="00264740"/>
    <w:rsid w:val="00266EF8"/>
    <w:rsid w:val="00267CE2"/>
    <w:rsid w:val="00267D38"/>
    <w:rsid w:val="002706F5"/>
    <w:rsid w:val="002707A9"/>
    <w:rsid w:val="002710BB"/>
    <w:rsid w:val="00272D0B"/>
    <w:rsid w:val="00273832"/>
    <w:rsid w:val="00274A6D"/>
    <w:rsid w:val="00274C24"/>
    <w:rsid w:val="00275C4A"/>
    <w:rsid w:val="00276183"/>
    <w:rsid w:val="00277FCF"/>
    <w:rsid w:val="00283276"/>
    <w:rsid w:val="0028465E"/>
    <w:rsid w:val="00287419"/>
    <w:rsid w:val="00290D3C"/>
    <w:rsid w:val="002A3234"/>
    <w:rsid w:val="002A4608"/>
    <w:rsid w:val="002A4E49"/>
    <w:rsid w:val="002A7239"/>
    <w:rsid w:val="002A74ED"/>
    <w:rsid w:val="002B152B"/>
    <w:rsid w:val="002B2C30"/>
    <w:rsid w:val="002B5A5D"/>
    <w:rsid w:val="002B6BA4"/>
    <w:rsid w:val="002B6D9A"/>
    <w:rsid w:val="002C1985"/>
    <w:rsid w:val="002C2A58"/>
    <w:rsid w:val="002C6D2A"/>
    <w:rsid w:val="002D3A6F"/>
    <w:rsid w:val="002D5A54"/>
    <w:rsid w:val="002D5D83"/>
    <w:rsid w:val="002D7C97"/>
    <w:rsid w:val="002E380E"/>
    <w:rsid w:val="002E5AB8"/>
    <w:rsid w:val="002F0DFF"/>
    <w:rsid w:val="002F3630"/>
    <w:rsid w:val="002F3806"/>
    <w:rsid w:val="0030062A"/>
    <w:rsid w:val="003015B6"/>
    <w:rsid w:val="00302C20"/>
    <w:rsid w:val="00304A07"/>
    <w:rsid w:val="00306248"/>
    <w:rsid w:val="0031132B"/>
    <w:rsid w:val="00313CF7"/>
    <w:rsid w:val="003150A2"/>
    <w:rsid w:val="00317E5F"/>
    <w:rsid w:val="00320533"/>
    <w:rsid w:val="00323C88"/>
    <w:rsid w:val="00326B69"/>
    <w:rsid w:val="00327683"/>
    <w:rsid w:val="0033404A"/>
    <w:rsid w:val="003352DA"/>
    <w:rsid w:val="00336207"/>
    <w:rsid w:val="003366FB"/>
    <w:rsid w:val="003376E8"/>
    <w:rsid w:val="00337952"/>
    <w:rsid w:val="003433F6"/>
    <w:rsid w:val="00347BB1"/>
    <w:rsid w:val="0035061A"/>
    <w:rsid w:val="00354E6D"/>
    <w:rsid w:val="00356395"/>
    <w:rsid w:val="0036162B"/>
    <w:rsid w:val="00363F3D"/>
    <w:rsid w:val="00367236"/>
    <w:rsid w:val="003740C0"/>
    <w:rsid w:val="003747D9"/>
    <w:rsid w:val="003758ED"/>
    <w:rsid w:val="00375BE2"/>
    <w:rsid w:val="0037750E"/>
    <w:rsid w:val="00381D62"/>
    <w:rsid w:val="0038229E"/>
    <w:rsid w:val="0038399A"/>
    <w:rsid w:val="0038441C"/>
    <w:rsid w:val="00387399"/>
    <w:rsid w:val="003876AA"/>
    <w:rsid w:val="00390ABF"/>
    <w:rsid w:val="003910E6"/>
    <w:rsid w:val="00391DD7"/>
    <w:rsid w:val="00391FC9"/>
    <w:rsid w:val="00394FB8"/>
    <w:rsid w:val="003965A6"/>
    <w:rsid w:val="0039795A"/>
    <w:rsid w:val="003A06D0"/>
    <w:rsid w:val="003A37FD"/>
    <w:rsid w:val="003A4FEF"/>
    <w:rsid w:val="003A61CA"/>
    <w:rsid w:val="003B24FE"/>
    <w:rsid w:val="003B3064"/>
    <w:rsid w:val="003B4236"/>
    <w:rsid w:val="003B47CA"/>
    <w:rsid w:val="003C1218"/>
    <w:rsid w:val="003C3040"/>
    <w:rsid w:val="003D286A"/>
    <w:rsid w:val="003D3C7D"/>
    <w:rsid w:val="003D3FEF"/>
    <w:rsid w:val="003D5DBD"/>
    <w:rsid w:val="003D67D6"/>
    <w:rsid w:val="003D7AAB"/>
    <w:rsid w:val="003E1324"/>
    <w:rsid w:val="003E3490"/>
    <w:rsid w:val="003E3BC1"/>
    <w:rsid w:val="003E493F"/>
    <w:rsid w:val="003E5186"/>
    <w:rsid w:val="003E56C4"/>
    <w:rsid w:val="003E5CDC"/>
    <w:rsid w:val="003E7590"/>
    <w:rsid w:val="003E76C0"/>
    <w:rsid w:val="003F10B3"/>
    <w:rsid w:val="003F3A26"/>
    <w:rsid w:val="003F45A9"/>
    <w:rsid w:val="004040EF"/>
    <w:rsid w:val="00404B52"/>
    <w:rsid w:val="00406BCC"/>
    <w:rsid w:val="0041096E"/>
    <w:rsid w:val="00412265"/>
    <w:rsid w:val="004138AD"/>
    <w:rsid w:val="00413A83"/>
    <w:rsid w:val="00414EC6"/>
    <w:rsid w:val="004156AD"/>
    <w:rsid w:val="00415F28"/>
    <w:rsid w:val="004177DB"/>
    <w:rsid w:val="00420B70"/>
    <w:rsid w:val="00422653"/>
    <w:rsid w:val="00424F5D"/>
    <w:rsid w:val="004262DB"/>
    <w:rsid w:val="0043196B"/>
    <w:rsid w:val="00431C72"/>
    <w:rsid w:val="00431E8C"/>
    <w:rsid w:val="004324C3"/>
    <w:rsid w:val="00435F8D"/>
    <w:rsid w:val="00436879"/>
    <w:rsid w:val="0044505A"/>
    <w:rsid w:val="004516F1"/>
    <w:rsid w:val="00452BA7"/>
    <w:rsid w:val="00453307"/>
    <w:rsid w:val="0045337F"/>
    <w:rsid w:val="00460029"/>
    <w:rsid w:val="0046495D"/>
    <w:rsid w:val="0046693D"/>
    <w:rsid w:val="00472A67"/>
    <w:rsid w:val="00474AAB"/>
    <w:rsid w:val="00474FEC"/>
    <w:rsid w:val="00475030"/>
    <w:rsid w:val="004753D6"/>
    <w:rsid w:val="00481843"/>
    <w:rsid w:val="00481CCA"/>
    <w:rsid w:val="00483E45"/>
    <w:rsid w:val="00483F95"/>
    <w:rsid w:val="00484404"/>
    <w:rsid w:val="0048452B"/>
    <w:rsid w:val="00484A66"/>
    <w:rsid w:val="00485851"/>
    <w:rsid w:val="00486785"/>
    <w:rsid w:val="004A7B4F"/>
    <w:rsid w:val="004B0785"/>
    <w:rsid w:val="004B148B"/>
    <w:rsid w:val="004B5229"/>
    <w:rsid w:val="004B6063"/>
    <w:rsid w:val="004B72B8"/>
    <w:rsid w:val="004B7688"/>
    <w:rsid w:val="004C0C82"/>
    <w:rsid w:val="004C1F33"/>
    <w:rsid w:val="004C6BD7"/>
    <w:rsid w:val="004C72C4"/>
    <w:rsid w:val="004D0896"/>
    <w:rsid w:val="004D1C9F"/>
    <w:rsid w:val="004D2955"/>
    <w:rsid w:val="004D2C23"/>
    <w:rsid w:val="004D3BBA"/>
    <w:rsid w:val="004D53A6"/>
    <w:rsid w:val="004D72C6"/>
    <w:rsid w:val="004E0263"/>
    <w:rsid w:val="004E0AFF"/>
    <w:rsid w:val="004E24C8"/>
    <w:rsid w:val="004E36DC"/>
    <w:rsid w:val="004F2F37"/>
    <w:rsid w:val="004F42CE"/>
    <w:rsid w:val="004F5D05"/>
    <w:rsid w:val="004F72D6"/>
    <w:rsid w:val="004F7498"/>
    <w:rsid w:val="00501712"/>
    <w:rsid w:val="00502739"/>
    <w:rsid w:val="005031D7"/>
    <w:rsid w:val="0050635F"/>
    <w:rsid w:val="0050716C"/>
    <w:rsid w:val="0051036A"/>
    <w:rsid w:val="00510FF9"/>
    <w:rsid w:val="005121B0"/>
    <w:rsid w:val="005135AA"/>
    <w:rsid w:val="00521F90"/>
    <w:rsid w:val="00523B1A"/>
    <w:rsid w:val="00527AE1"/>
    <w:rsid w:val="005309B8"/>
    <w:rsid w:val="005312DF"/>
    <w:rsid w:val="00531E56"/>
    <w:rsid w:val="00534387"/>
    <w:rsid w:val="00535CDB"/>
    <w:rsid w:val="00535F30"/>
    <w:rsid w:val="00536E54"/>
    <w:rsid w:val="00540363"/>
    <w:rsid w:val="005448D9"/>
    <w:rsid w:val="00546D81"/>
    <w:rsid w:val="00550660"/>
    <w:rsid w:val="00550D2C"/>
    <w:rsid w:val="00550FC1"/>
    <w:rsid w:val="00554E48"/>
    <w:rsid w:val="00565DA1"/>
    <w:rsid w:val="0056646E"/>
    <w:rsid w:val="00570BD8"/>
    <w:rsid w:val="00570FAF"/>
    <w:rsid w:val="00572209"/>
    <w:rsid w:val="00572592"/>
    <w:rsid w:val="00575DAC"/>
    <w:rsid w:val="005804D0"/>
    <w:rsid w:val="00582C73"/>
    <w:rsid w:val="005852F6"/>
    <w:rsid w:val="00586F4C"/>
    <w:rsid w:val="005879C4"/>
    <w:rsid w:val="005927D9"/>
    <w:rsid w:val="0059356A"/>
    <w:rsid w:val="00595846"/>
    <w:rsid w:val="005970E5"/>
    <w:rsid w:val="005A14B3"/>
    <w:rsid w:val="005A1818"/>
    <w:rsid w:val="005A24EB"/>
    <w:rsid w:val="005A3357"/>
    <w:rsid w:val="005A365A"/>
    <w:rsid w:val="005A59EA"/>
    <w:rsid w:val="005B052A"/>
    <w:rsid w:val="005B2E42"/>
    <w:rsid w:val="005C1C4B"/>
    <w:rsid w:val="005C346D"/>
    <w:rsid w:val="005C3796"/>
    <w:rsid w:val="005C5B4D"/>
    <w:rsid w:val="005C7E1A"/>
    <w:rsid w:val="005D6ABF"/>
    <w:rsid w:val="005D724B"/>
    <w:rsid w:val="005D7684"/>
    <w:rsid w:val="005D773F"/>
    <w:rsid w:val="005D79A3"/>
    <w:rsid w:val="005E03BB"/>
    <w:rsid w:val="005E155F"/>
    <w:rsid w:val="005E38CF"/>
    <w:rsid w:val="005E5860"/>
    <w:rsid w:val="005E6B16"/>
    <w:rsid w:val="005F0463"/>
    <w:rsid w:val="005F460D"/>
    <w:rsid w:val="005F5EAB"/>
    <w:rsid w:val="005F6293"/>
    <w:rsid w:val="005F6637"/>
    <w:rsid w:val="005F69CB"/>
    <w:rsid w:val="005F7BFB"/>
    <w:rsid w:val="0060107E"/>
    <w:rsid w:val="0060289B"/>
    <w:rsid w:val="0060328D"/>
    <w:rsid w:val="00604331"/>
    <w:rsid w:val="0060514F"/>
    <w:rsid w:val="006061F2"/>
    <w:rsid w:val="00606250"/>
    <w:rsid w:val="00606701"/>
    <w:rsid w:val="0060720E"/>
    <w:rsid w:val="00607E8C"/>
    <w:rsid w:val="00610F2D"/>
    <w:rsid w:val="006132B3"/>
    <w:rsid w:val="00615386"/>
    <w:rsid w:val="00616200"/>
    <w:rsid w:val="00624011"/>
    <w:rsid w:val="00624FA9"/>
    <w:rsid w:val="00626599"/>
    <w:rsid w:val="006277FB"/>
    <w:rsid w:val="00627D78"/>
    <w:rsid w:val="00630100"/>
    <w:rsid w:val="00630761"/>
    <w:rsid w:val="00630AE9"/>
    <w:rsid w:val="006329BE"/>
    <w:rsid w:val="00633AD9"/>
    <w:rsid w:val="0063696B"/>
    <w:rsid w:val="00637891"/>
    <w:rsid w:val="00646162"/>
    <w:rsid w:val="0065107E"/>
    <w:rsid w:val="006519C9"/>
    <w:rsid w:val="00655C49"/>
    <w:rsid w:val="00657168"/>
    <w:rsid w:val="006606CA"/>
    <w:rsid w:val="006606CC"/>
    <w:rsid w:val="00661E0F"/>
    <w:rsid w:val="00661E27"/>
    <w:rsid w:val="00665A6E"/>
    <w:rsid w:val="00665BA4"/>
    <w:rsid w:val="006663D8"/>
    <w:rsid w:val="00667E29"/>
    <w:rsid w:val="0067143A"/>
    <w:rsid w:val="0067149D"/>
    <w:rsid w:val="0067426D"/>
    <w:rsid w:val="006761DF"/>
    <w:rsid w:val="00676B73"/>
    <w:rsid w:val="00677F2C"/>
    <w:rsid w:val="00680B7B"/>
    <w:rsid w:val="00680DFD"/>
    <w:rsid w:val="00685C25"/>
    <w:rsid w:val="0069225A"/>
    <w:rsid w:val="0069371C"/>
    <w:rsid w:val="00693746"/>
    <w:rsid w:val="00694BA0"/>
    <w:rsid w:val="0069522F"/>
    <w:rsid w:val="00695767"/>
    <w:rsid w:val="00697A19"/>
    <w:rsid w:val="006A109E"/>
    <w:rsid w:val="006A2381"/>
    <w:rsid w:val="006A64B5"/>
    <w:rsid w:val="006C1DA1"/>
    <w:rsid w:val="006C583F"/>
    <w:rsid w:val="006C7D7C"/>
    <w:rsid w:val="006C7EC8"/>
    <w:rsid w:val="006D2BE7"/>
    <w:rsid w:val="006E241C"/>
    <w:rsid w:val="006E3B64"/>
    <w:rsid w:val="006E41C9"/>
    <w:rsid w:val="006E6E1F"/>
    <w:rsid w:val="006F10FF"/>
    <w:rsid w:val="006F2BBA"/>
    <w:rsid w:val="007026F0"/>
    <w:rsid w:val="007058C9"/>
    <w:rsid w:val="00706DD7"/>
    <w:rsid w:val="007079D3"/>
    <w:rsid w:val="0071045E"/>
    <w:rsid w:val="00712EBB"/>
    <w:rsid w:val="00716BE7"/>
    <w:rsid w:val="00720502"/>
    <w:rsid w:val="007218E3"/>
    <w:rsid w:val="00721B4F"/>
    <w:rsid w:val="00723177"/>
    <w:rsid w:val="00723501"/>
    <w:rsid w:val="007238BF"/>
    <w:rsid w:val="00723AE4"/>
    <w:rsid w:val="007256F0"/>
    <w:rsid w:val="00725F01"/>
    <w:rsid w:val="0072610F"/>
    <w:rsid w:val="0073120E"/>
    <w:rsid w:val="0073200A"/>
    <w:rsid w:val="00733A0A"/>
    <w:rsid w:val="007342D7"/>
    <w:rsid w:val="00736088"/>
    <w:rsid w:val="00736766"/>
    <w:rsid w:val="00740977"/>
    <w:rsid w:val="00742179"/>
    <w:rsid w:val="00742EEA"/>
    <w:rsid w:val="0074640B"/>
    <w:rsid w:val="00747B36"/>
    <w:rsid w:val="00751117"/>
    <w:rsid w:val="0075577B"/>
    <w:rsid w:val="00756482"/>
    <w:rsid w:val="00757193"/>
    <w:rsid w:val="007611E6"/>
    <w:rsid w:val="007620D4"/>
    <w:rsid w:val="0076251B"/>
    <w:rsid w:val="00765563"/>
    <w:rsid w:val="00766287"/>
    <w:rsid w:val="00770025"/>
    <w:rsid w:val="00770D24"/>
    <w:rsid w:val="00772090"/>
    <w:rsid w:val="00775A8D"/>
    <w:rsid w:val="00776FC7"/>
    <w:rsid w:val="007777C8"/>
    <w:rsid w:val="00782495"/>
    <w:rsid w:val="007841A5"/>
    <w:rsid w:val="007860D8"/>
    <w:rsid w:val="007873F7"/>
    <w:rsid w:val="007A0D28"/>
    <w:rsid w:val="007A308B"/>
    <w:rsid w:val="007A6D50"/>
    <w:rsid w:val="007B2CF3"/>
    <w:rsid w:val="007B4874"/>
    <w:rsid w:val="007B4B87"/>
    <w:rsid w:val="007B6578"/>
    <w:rsid w:val="007B7BBE"/>
    <w:rsid w:val="007C2139"/>
    <w:rsid w:val="007C2594"/>
    <w:rsid w:val="007C6A0F"/>
    <w:rsid w:val="007C7E79"/>
    <w:rsid w:val="007D21C0"/>
    <w:rsid w:val="007D4DBA"/>
    <w:rsid w:val="007E0692"/>
    <w:rsid w:val="007E25D6"/>
    <w:rsid w:val="007E4211"/>
    <w:rsid w:val="007E6F5F"/>
    <w:rsid w:val="007F1489"/>
    <w:rsid w:val="007F3DD2"/>
    <w:rsid w:val="007F556F"/>
    <w:rsid w:val="007F7821"/>
    <w:rsid w:val="007F7C6B"/>
    <w:rsid w:val="00801170"/>
    <w:rsid w:val="008020AF"/>
    <w:rsid w:val="00802DF4"/>
    <w:rsid w:val="008053EB"/>
    <w:rsid w:val="00806406"/>
    <w:rsid w:val="0080687F"/>
    <w:rsid w:val="00806CF9"/>
    <w:rsid w:val="00812239"/>
    <w:rsid w:val="0081317A"/>
    <w:rsid w:val="00821C52"/>
    <w:rsid w:val="00833CFB"/>
    <w:rsid w:val="00835267"/>
    <w:rsid w:val="00836618"/>
    <w:rsid w:val="0084037D"/>
    <w:rsid w:val="00841D0A"/>
    <w:rsid w:val="00842DCD"/>
    <w:rsid w:val="008437F2"/>
    <w:rsid w:val="00846212"/>
    <w:rsid w:val="00846A9C"/>
    <w:rsid w:val="00850A4C"/>
    <w:rsid w:val="008527DC"/>
    <w:rsid w:val="008541C8"/>
    <w:rsid w:val="00854C2F"/>
    <w:rsid w:val="0085535A"/>
    <w:rsid w:val="008562E6"/>
    <w:rsid w:val="00857AF8"/>
    <w:rsid w:val="008604B3"/>
    <w:rsid w:val="00863A5C"/>
    <w:rsid w:val="00867014"/>
    <w:rsid w:val="008706A2"/>
    <w:rsid w:val="00873DF6"/>
    <w:rsid w:val="0087460D"/>
    <w:rsid w:val="00875EFE"/>
    <w:rsid w:val="008774E1"/>
    <w:rsid w:val="008803F1"/>
    <w:rsid w:val="00881E00"/>
    <w:rsid w:val="008843F2"/>
    <w:rsid w:val="008864FD"/>
    <w:rsid w:val="00886FBB"/>
    <w:rsid w:val="00890FAB"/>
    <w:rsid w:val="008924E0"/>
    <w:rsid w:val="008925F9"/>
    <w:rsid w:val="0089372F"/>
    <w:rsid w:val="0089766F"/>
    <w:rsid w:val="008A3DA2"/>
    <w:rsid w:val="008A4152"/>
    <w:rsid w:val="008A6792"/>
    <w:rsid w:val="008A6E98"/>
    <w:rsid w:val="008B1275"/>
    <w:rsid w:val="008B12DB"/>
    <w:rsid w:val="008B64B5"/>
    <w:rsid w:val="008B7BEB"/>
    <w:rsid w:val="008C1927"/>
    <w:rsid w:val="008C2F6A"/>
    <w:rsid w:val="008C34D9"/>
    <w:rsid w:val="008C398A"/>
    <w:rsid w:val="008C68A2"/>
    <w:rsid w:val="008C72A0"/>
    <w:rsid w:val="008D1126"/>
    <w:rsid w:val="008D2243"/>
    <w:rsid w:val="008D22DB"/>
    <w:rsid w:val="008D2B47"/>
    <w:rsid w:val="008E0633"/>
    <w:rsid w:val="008E3930"/>
    <w:rsid w:val="008E393E"/>
    <w:rsid w:val="008E4007"/>
    <w:rsid w:val="008E5E0A"/>
    <w:rsid w:val="008E5FD8"/>
    <w:rsid w:val="008E7CFF"/>
    <w:rsid w:val="008F0CB3"/>
    <w:rsid w:val="008F10F9"/>
    <w:rsid w:val="008F230D"/>
    <w:rsid w:val="008F46D5"/>
    <w:rsid w:val="008F6143"/>
    <w:rsid w:val="00901E86"/>
    <w:rsid w:val="00904046"/>
    <w:rsid w:val="00904111"/>
    <w:rsid w:val="00914DB7"/>
    <w:rsid w:val="00914EE4"/>
    <w:rsid w:val="0091611B"/>
    <w:rsid w:val="00916C21"/>
    <w:rsid w:val="009312C1"/>
    <w:rsid w:val="00931358"/>
    <w:rsid w:val="009314DB"/>
    <w:rsid w:val="009320F2"/>
    <w:rsid w:val="00932E79"/>
    <w:rsid w:val="00941585"/>
    <w:rsid w:val="00941924"/>
    <w:rsid w:val="00941A27"/>
    <w:rsid w:val="00941F61"/>
    <w:rsid w:val="0094222B"/>
    <w:rsid w:val="0094229D"/>
    <w:rsid w:val="00942D96"/>
    <w:rsid w:val="00943C87"/>
    <w:rsid w:val="00944AD2"/>
    <w:rsid w:val="0094549A"/>
    <w:rsid w:val="0095684B"/>
    <w:rsid w:val="00956AE7"/>
    <w:rsid w:val="00960545"/>
    <w:rsid w:val="009618A5"/>
    <w:rsid w:val="0096265B"/>
    <w:rsid w:val="00964C99"/>
    <w:rsid w:val="00965CD3"/>
    <w:rsid w:val="00966108"/>
    <w:rsid w:val="00967388"/>
    <w:rsid w:val="0097121C"/>
    <w:rsid w:val="00971500"/>
    <w:rsid w:val="009750E4"/>
    <w:rsid w:val="0097701C"/>
    <w:rsid w:val="009814B9"/>
    <w:rsid w:val="00981598"/>
    <w:rsid w:val="00982307"/>
    <w:rsid w:val="00983323"/>
    <w:rsid w:val="00987454"/>
    <w:rsid w:val="00990BE2"/>
    <w:rsid w:val="00991F43"/>
    <w:rsid w:val="0099224E"/>
    <w:rsid w:val="009933A0"/>
    <w:rsid w:val="00993B8F"/>
    <w:rsid w:val="00993C90"/>
    <w:rsid w:val="009941F9"/>
    <w:rsid w:val="009950FD"/>
    <w:rsid w:val="00996BF7"/>
    <w:rsid w:val="009A129C"/>
    <w:rsid w:val="009A6658"/>
    <w:rsid w:val="009B4820"/>
    <w:rsid w:val="009C04F8"/>
    <w:rsid w:val="009C0705"/>
    <w:rsid w:val="009C356A"/>
    <w:rsid w:val="009C4F4C"/>
    <w:rsid w:val="009D60C6"/>
    <w:rsid w:val="009D6ECC"/>
    <w:rsid w:val="009E0517"/>
    <w:rsid w:val="009E455A"/>
    <w:rsid w:val="009E4DE5"/>
    <w:rsid w:val="009E7826"/>
    <w:rsid w:val="009F1836"/>
    <w:rsid w:val="009F1AC6"/>
    <w:rsid w:val="009F1FCE"/>
    <w:rsid w:val="009F2571"/>
    <w:rsid w:val="009F3662"/>
    <w:rsid w:val="009F4803"/>
    <w:rsid w:val="009F4906"/>
    <w:rsid w:val="009F6CE7"/>
    <w:rsid w:val="00A03D28"/>
    <w:rsid w:val="00A06013"/>
    <w:rsid w:val="00A15223"/>
    <w:rsid w:val="00A1621C"/>
    <w:rsid w:val="00A17D59"/>
    <w:rsid w:val="00A20F01"/>
    <w:rsid w:val="00A220CE"/>
    <w:rsid w:val="00A22611"/>
    <w:rsid w:val="00A2686D"/>
    <w:rsid w:val="00A27A28"/>
    <w:rsid w:val="00A35135"/>
    <w:rsid w:val="00A35A91"/>
    <w:rsid w:val="00A37B5A"/>
    <w:rsid w:val="00A405BC"/>
    <w:rsid w:val="00A40978"/>
    <w:rsid w:val="00A43D4A"/>
    <w:rsid w:val="00A45593"/>
    <w:rsid w:val="00A45DA2"/>
    <w:rsid w:val="00A47AF3"/>
    <w:rsid w:val="00A52EE0"/>
    <w:rsid w:val="00A53CB2"/>
    <w:rsid w:val="00A5547A"/>
    <w:rsid w:val="00A60BC5"/>
    <w:rsid w:val="00A62F33"/>
    <w:rsid w:val="00A70021"/>
    <w:rsid w:val="00A70055"/>
    <w:rsid w:val="00A70B23"/>
    <w:rsid w:val="00A72D4E"/>
    <w:rsid w:val="00A74065"/>
    <w:rsid w:val="00A75A49"/>
    <w:rsid w:val="00A81F67"/>
    <w:rsid w:val="00A821A7"/>
    <w:rsid w:val="00A82821"/>
    <w:rsid w:val="00A8319C"/>
    <w:rsid w:val="00A8401C"/>
    <w:rsid w:val="00A8518E"/>
    <w:rsid w:val="00A85F6B"/>
    <w:rsid w:val="00A91608"/>
    <w:rsid w:val="00AA0D79"/>
    <w:rsid w:val="00AA5420"/>
    <w:rsid w:val="00AA5D83"/>
    <w:rsid w:val="00AA7587"/>
    <w:rsid w:val="00AB5070"/>
    <w:rsid w:val="00AB6DBF"/>
    <w:rsid w:val="00AC0780"/>
    <w:rsid w:val="00AC2ED6"/>
    <w:rsid w:val="00AC374E"/>
    <w:rsid w:val="00AC4E6C"/>
    <w:rsid w:val="00AC537C"/>
    <w:rsid w:val="00AD0730"/>
    <w:rsid w:val="00AD10E1"/>
    <w:rsid w:val="00AD2C58"/>
    <w:rsid w:val="00AD2FA4"/>
    <w:rsid w:val="00AD3E7F"/>
    <w:rsid w:val="00AD4147"/>
    <w:rsid w:val="00AE13BE"/>
    <w:rsid w:val="00AE3A41"/>
    <w:rsid w:val="00AE3A42"/>
    <w:rsid w:val="00AE57AC"/>
    <w:rsid w:val="00AE5C26"/>
    <w:rsid w:val="00AE6859"/>
    <w:rsid w:val="00AE6F1D"/>
    <w:rsid w:val="00AF09DB"/>
    <w:rsid w:val="00AF4B9A"/>
    <w:rsid w:val="00AF5BFE"/>
    <w:rsid w:val="00AF604C"/>
    <w:rsid w:val="00AF74B8"/>
    <w:rsid w:val="00AF7EB1"/>
    <w:rsid w:val="00AF7FC1"/>
    <w:rsid w:val="00B02A66"/>
    <w:rsid w:val="00B04912"/>
    <w:rsid w:val="00B06F04"/>
    <w:rsid w:val="00B070FC"/>
    <w:rsid w:val="00B0733D"/>
    <w:rsid w:val="00B118E4"/>
    <w:rsid w:val="00B12097"/>
    <w:rsid w:val="00B15D69"/>
    <w:rsid w:val="00B16D48"/>
    <w:rsid w:val="00B17C2B"/>
    <w:rsid w:val="00B26C87"/>
    <w:rsid w:val="00B30264"/>
    <w:rsid w:val="00B31E16"/>
    <w:rsid w:val="00B342D6"/>
    <w:rsid w:val="00B3529B"/>
    <w:rsid w:val="00B3555A"/>
    <w:rsid w:val="00B40145"/>
    <w:rsid w:val="00B402B6"/>
    <w:rsid w:val="00B42BAF"/>
    <w:rsid w:val="00B43F3C"/>
    <w:rsid w:val="00B46BE3"/>
    <w:rsid w:val="00B5446F"/>
    <w:rsid w:val="00B5468E"/>
    <w:rsid w:val="00B55996"/>
    <w:rsid w:val="00B60391"/>
    <w:rsid w:val="00B65013"/>
    <w:rsid w:val="00B7123F"/>
    <w:rsid w:val="00B719CE"/>
    <w:rsid w:val="00B726B1"/>
    <w:rsid w:val="00B72FC6"/>
    <w:rsid w:val="00B74AA7"/>
    <w:rsid w:val="00B74C18"/>
    <w:rsid w:val="00B84279"/>
    <w:rsid w:val="00B87E37"/>
    <w:rsid w:val="00B94CB6"/>
    <w:rsid w:val="00BA2164"/>
    <w:rsid w:val="00BA21AD"/>
    <w:rsid w:val="00BA234F"/>
    <w:rsid w:val="00BA283A"/>
    <w:rsid w:val="00BA5172"/>
    <w:rsid w:val="00BA59EF"/>
    <w:rsid w:val="00BA60E0"/>
    <w:rsid w:val="00BA7FF8"/>
    <w:rsid w:val="00BB014C"/>
    <w:rsid w:val="00BB1BBB"/>
    <w:rsid w:val="00BC2AE4"/>
    <w:rsid w:val="00BC349A"/>
    <w:rsid w:val="00BC5CF7"/>
    <w:rsid w:val="00BD3F13"/>
    <w:rsid w:val="00BD52E1"/>
    <w:rsid w:val="00BD6092"/>
    <w:rsid w:val="00BD692E"/>
    <w:rsid w:val="00BE0049"/>
    <w:rsid w:val="00BE039C"/>
    <w:rsid w:val="00BE0D4C"/>
    <w:rsid w:val="00BE1FC2"/>
    <w:rsid w:val="00BE4832"/>
    <w:rsid w:val="00BE5066"/>
    <w:rsid w:val="00BE59BE"/>
    <w:rsid w:val="00BE763E"/>
    <w:rsid w:val="00BF5C83"/>
    <w:rsid w:val="00BF76F8"/>
    <w:rsid w:val="00C02210"/>
    <w:rsid w:val="00C023BE"/>
    <w:rsid w:val="00C029DE"/>
    <w:rsid w:val="00C02A95"/>
    <w:rsid w:val="00C1022B"/>
    <w:rsid w:val="00C11A60"/>
    <w:rsid w:val="00C1322C"/>
    <w:rsid w:val="00C14111"/>
    <w:rsid w:val="00C151A6"/>
    <w:rsid w:val="00C205A4"/>
    <w:rsid w:val="00C23B62"/>
    <w:rsid w:val="00C24A46"/>
    <w:rsid w:val="00C24F12"/>
    <w:rsid w:val="00C26886"/>
    <w:rsid w:val="00C31037"/>
    <w:rsid w:val="00C32360"/>
    <w:rsid w:val="00C36455"/>
    <w:rsid w:val="00C4056C"/>
    <w:rsid w:val="00C40F5E"/>
    <w:rsid w:val="00C42BA2"/>
    <w:rsid w:val="00C43B90"/>
    <w:rsid w:val="00C44BFE"/>
    <w:rsid w:val="00C478D9"/>
    <w:rsid w:val="00C5072F"/>
    <w:rsid w:val="00C57128"/>
    <w:rsid w:val="00C609D0"/>
    <w:rsid w:val="00C6224B"/>
    <w:rsid w:val="00C6482C"/>
    <w:rsid w:val="00C655C2"/>
    <w:rsid w:val="00C662CB"/>
    <w:rsid w:val="00C71F5F"/>
    <w:rsid w:val="00C71F96"/>
    <w:rsid w:val="00C741DF"/>
    <w:rsid w:val="00C76D4A"/>
    <w:rsid w:val="00C76E84"/>
    <w:rsid w:val="00C835CE"/>
    <w:rsid w:val="00C87026"/>
    <w:rsid w:val="00C90533"/>
    <w:rsid w:val="00C912B5"/>
    <w:rsid w:val="00C95054"/>
    <w:rsid w:val="00C97EE2"/>
    <w:rsid w:val="00CA00DC"/>
    <w:rsid w:val="00CA0415"/>
    <w:rsid w:val="00CA08B7"/>
    <w:rsid w:val="00CA0B07"/>
    <w:rsid w:val="00CA2DC9"/>
    <w:rsid w:val="00CA62DC"/>
    <w:rsid w:val="00CB247A"/>
    <w:rsid w:val="00CB36E0"/>
    <w:rsid w:val="00CB4A07"/>
    <w:rsid w:val="00CB525A"/>
    <w:rsid w:val="00CB7866"/>
    <w:rsid w:val="00CC208B"/>
    <w:rsid w:val="00CC22ED"/>
    <w:rsid w:val="00CC34EC"/>
    <w:rsid w:val="00CC62F9"/>
    <w:rsid w:val="00CC71DE"/>
    <w:rsid w:val="00CC77CE"/>
    <w:rsid w:val="00CD3A18"/>
    <w:rsid w:val="00CD406B"/>
    <w:rsid w:val="00CD61CA"/>
    <w:rsid w:val="00CD6675"/>
    <w:rsid w:val="00CE4873"/>
    <w:rsid w:val="00CE5BB8"/>
    <w:rsid w:val="00CF208A"/>
    <w:rsid w:val="00CF42CF"/>
    <w:rsid w:val="00CF4700"/>
    <w:rsid w:val="00D0133E"/>
    <w:rsid w:val="00D06FA8"/>
    <w:rsid w:val="00D10F5C"/>
    <w:rsid w:val="00D11B0D"/>
    <w:rsid w:val="00D11E79"/>
    <w:rsid w:val="00D14790"/>
    <w:rsid w:val="00D15328"/>
    <w:rsid w:val="00D168C5"/>
    <w:rsid w:val="00D20BB9"/>
    <w:rsid w:val="00D2146B"/>
    <w:rsid w:val="00D223F5"/>
    <w:rsid w:val="00D2550D"/>
    <w:rsid w:val="00D25DEB"/>
    <w:rsid w:val="00D276F6"/>
    <w:rsid w:val="00D27A19"/>
    <w:rsid w:val="00D3093A"/>
    <w:rsid w:val="00D30EDC"/>
    <w:rsid w:val="00D310AB"/>
    <w:rsid w:val="00D3213B"/>
    <w:rsid w:val="00D3432D"/>
    <w:rsid w:val="00D35EA3"/>
    <w:rsid w:val="00D400E9"/>
    <w:rsid w:val="00D42BBD"/>
    <w:rsid w:val="00D43AB6"/>
    <w:rsid w:val="00D51E56"/>
    <w:rsid w:val="00D526E4"/>
    <w:rsid w:val="00D61F42"/>
    <w:rsid w:val="00D62602"/>
    <w:rsid w:val="00D6294C"/>
    <w:rsid w:val="00D64CFA"/>
    <w:rsid w:val="00D653BC"/>
    <w:rsid w:val="00D66284"/>
    <w:rsid w:val="00D66302"/>
    <w:rsid w:val="00D66E7E"/>
    <w:rsid w:val="00D70F97"/>
    <w:rsid w:val="00D7227D"/>
    <w:rsid w:val="00D7617A"/>
    <w:rsid w:val="00D80BCB"/>
    <w:rsid w:val="00D80E43"/>
    <w:rsid w:val="00D8136B"/>
    <w:rsid w:val="00D8609F"/>
    <w:rsid w:val="00D9097B"/>
    <w:rsid w:val="00D950A5"/>
    <w:rsid w:val="00D95131"/>
    <w:rsid w:val="00D95E55"/>
    <w:rsid w:val="00DA0D26"/>
    <w:rsid w:val="00DA0DD4"/>
    <w:rsid w:val="00DA2BAB"/>
    <w:rsid w:val="00DA5A7E"/>
    <w:rsid w:val="00DB1010"/>
    <w:rsid w:val="00DB1521"/>
    <w:rsid w:val="00DB20AD"/>
    <w:rsid w:val="00DB2622"/>
    <w:rsid w:val="00DB2EC3"/>
    <w:rsid w:val="00DB39FA"/>
    <w:rsid w:val="00DB3EA2"/>
    <w:rsid w:val="00DB76EB"/>
    <w:rsid w:val="00DB77D2"/>
    <w:rsid w:val="00DC574E"/>
    <w:rsid w:val="00DC5D03"/>
    <w:rsid w:val="00DD213F"/>
    <w:rsid w:val="00DD399F"/>
    <w:rsid w:val="00DD629C"/>
    <w:rsid w:val="00DD6FBD"/>
    <w:rsid w:val="00DE0190"/>
    <w:rsid w:val="00DE6B87"/>
    <w:rsid w:val="00DF12A3"/>
    <w:rsid w:val="00E02BF3"/>
    <w:rsid w:val="00E064AC"/>
    <w:rsid w:val="00E07390"/>
    <w:rsid w:val="00E13687"/>
    <w:rsid w:val="00E15BAB"/>
    <w:rsid w:val="00E17424"/>
    <w:rsid w:val="00E20129"/>
    <w:rsid w:val="00E20C48"/>
    <w:rsid w:val="00E2540B"/>
    <w:rsid w:val="00E30A56"/>
    <w:rsid w:val="00E405CE"/>
    <w:rsid w:val="00E41813"/>
    <w:rsid w:val="00E46071"/>
    <w:rsid w:val="00E47830"/>
    <w:rsid w:val="00E47D1B"/>
    <w:rsid w:val="00E50908"/>
    <w:rsid w:val="00E50967"/>
    <w:rsid w:val="00E52873"/>
    <w:rsid w:val="00E529A6"/>
    <w:rsid w:val="00E54CD1"/>
    <w:rsid w:val="00E55080"/>
    <w:rsid w:val="00E556C3"/>
    <w:rsid w:val="00E566EC"/>
    <w:rsid w:val="00E567AF"/>
    <w:rsid w:val="00E6025E"/>
    <w:rsid w:val="00E607DD"/>
    <w:rsid w:val="00E62483"/>
    <w:rsid w:val="00E63054"/>
    <w:rsid w:val="00E637EA"/>
    <w:rsid w:val="00E74669"/>
    <w:rsid w:val="00E7665E"/>
    <w:rsid w:val="00E77961"/>
    <w:rsid w:val="00E8068E"/>
    <w:rsid w:val="00E8084D"/>
    <w:rsid w:val="00E82124"/>
    <w:rsid w:val="00E82F7D"/>
    <w:rsid w:val="00E8328A"/>
    <w:rsid w:val="00E840A3"/>
    <w:rsid w:val="00E86200"/>
    <w:rsid w:val="00E87835"/>
    <w:rsid w:val="00E93CD6"/>
    <w:rsid w:val="00E94130"/>
    <w:rsid w:val="00EA0CC1"/>
    <w:rsid w:val="00EA42F7"/>
    <w:rsid w:val="00EA4E7A"/>
    <w:rsid w:val="00EA5C06"/>
    <w:rsid w:val="00EB1922"/>
    <w:rsid w:val="00EB1E3A"/>
    <w:rsid w:val="00EB414D"/>
    <w:rsid w:val="00EC7ECA"/>
    <w:rsid w:val="00ED1CCB"/>
    <w:rsid w:val="00ED37AC"/>
    <w:rsid w:val="00ED4C93"/>
    <w:rsid w:val="00ED4D39"/>
    <w:rsid w:val="00ED590F"/>
    <w:rsid w:val="00ED5943"/>
    <w:rsid w:val="00EE3437"/>
    <w:rsid w:val="00EE4334"/>
    <w:rsid w:val="00EE51A3"/>
    <w:rsid w:val="00EE6A86"/>
    <w:rsid w:val="00EE7328"/>
    <w:rsid w:val="00EF292E"/>
    <w:rsid w:val="00EF419E"/>
    <w:rsid w:val="00EF431A"/>
    <w:rsid w:val="00EF4357"/>
    <w:rsid w:val="00EF4EC1"/>
    <w:rsid w:val="00EF4F10"/>
    <w:rsid w:val="00F0130E"/>
    <w:rsid w:val="00F02264"/>
    <w:rsid w:val="00F027E3"/>
    <w:rsid w:val="00F04EE9"/>
    <w:rsid w:val="00F05F3A"/>
    <w:rsid w:val="00F07058"/>
    <w:rsid w:val="00F11BFC"/>
    <w:rsid w:val="00F13B95"/>
    <w:rsid w:val="00F149C0"/>
    <w:rsid w:val="00F2188B"/>
    <w:rsid w:val="00F223C7"/>
    <w:rsid w:val="00F23A51"/>
    <w:rsid w:val="00F27687"/>
    <w:rsid w:val="00F3212F"/>
    <w:rsid w:val="00F32C9E"/>
    <w:rsid w:val="00F33A9E"/>
    <w:rsid w:val="00F33C22"/>
    <w:rsid w:val="00F41E06"/>
    <w:rsid w:val="00F43246"/>
    <w:rsid w:val="00F43B14"/>
    <w:rsid w:val="00F44DEA"/>
    <w:rsid w:val="00F528E3"/>
    <w:rsid w:val="00F55037"/>
    <w:rsid w:val="00F61670"/>
    <w:rsid w:val="00F63689"/>
    <w:rsid w:val="00F662BE"/>
    <w:rsid w:val="00F663FA"/>
    <w:rsid w:val="00F66634"/>
    <w:rsid w:val="00F66B2B"/>
    <w:rsid w:val="00F708BF"/>
    <w:rsid w:val="00F71D40"/>
    <w:rsid w:val="00F721F3"/>
    <w:rsid w:val="00F74408"/>
    <w:rsid w:val="00F802BC"/>
    <w:rsid w:val="00F80802"/>
    <w:rsid w:val="00F83780"/>
    <w:rsid w:val="00F8544E"/>
    <w:rsid w:val="00F8671D"/>
    <w:rsid w:val="00F8693B"/>
    <w:rsid w:val="00F87C6A"/>
    <w:rsid w:val="00F9144D"/>
    <w:rsid w:val="00F9188E"/>
    <w:rsid w:val="00F93605"/>
    <w:rsid w:val="00F961BB"/>
    <w:rsid w:val="00F972FD"/>
    <w:rsid w:val="00FA03BA"/>
    <w:rsid w:val="00FA0634"/>
    <w:rsid w:val="00FA105C"/>
    <w:rsid w:val="00FA15D4"/>
    <w:rsid w:val="00FA2615"/>
    <w:rsid w:val="00FA49B5"/>
    <w:rsid w:val="00FB0FAD"/>
    <w:rsid w:val="00FB23A7"/>
    <w:rsid w:val="00FC0242"/>
    <w:rsid w:val="00FC32CD"/>
    <w:rsid w:val="00FC34B7"/>
    <w:rsid w:val="00FC4EE3"/>
    <w:rsid w:val="00FC7286"/>
    <w:rsid w:val="00FD1B8A"/>
    <w:rsid w:val="00FD2616"/>
    <w:rsid w:val="00FD3E6D"/>
    <w:rsid w:val="00FD4EB6"/>
    <w:rsid w:val="00FD590F"/>
    <w:rsid w:val="00FE0675"/>
    <w:rsid w:val="00FE4CEB"/>
    <w:rsid w:val="00FE4FDF"/>
    <w:rsid w:val="00FF0125"/>
    <w:rsid w:val="00FF0C4E"/>
    <w:rsid w:val="00FF4DB4"/>
    <w:rsid w:val="00FF6521"/>
    <w:rsid w:val="00FF75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0ED85A"/>
  <w15:docId w15:val="{F661E436-5451-41D1-90C4-5FF5BE576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A59EF"/>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uiPriority w:val="9"/>
    <w:qFormat/>
    <w:pPr>
      <w:ind w:left="673" w:hanging="567"/>
      <w:outlineLvl w:val="0"/>
    </w:pPr>
    <w:rPr>
      <w:b/>
      <w:bCs/>
    </w:rPr>
  </w:style>
  <w:style w:type="paragraph" w:styleId="Heading2">
    <w:name w:val="heading 2"/>
    <w:basedOn w:val="Normal"/>
    <w:next w:val="Normal"/>
    <w:link w:val="Heading2Char"/>
    <w:uiPriority w:val="9"/>
    <w:qFormat/>
    <w:pPr>
      <w:spacing w:before="76"/>
      <w:ind w:left="1239" w:hanging="566"/>
      <w:outlineLvl w:val="1"/>
    </w:pPr>
    <w:rPr>
      <w:b/>
      <w:bCs/>
      <w:sz w:val="20"/>
      <w:szCs w:val="20"/>
    </w:rPr>
  </w:style>
  <w:style w:type="paragraph" w:styleId="Heading3">
    <w:name w:val="heading 3"/>
    <w:basedOn w:val="Normal"/>
    <w:link w:val="Heading3Char"/>
    <w:uiPriority w:val="9"/>
    <w:unhideWhenUsed/>
    <w:qFormat/>
    <w:rsid w:val="000C22DE"/>
    <w:pPr>
      <w:adjustRightInd/>
      <w:spacing w:before="150"/>
      <w:ind w:left="2859"/>
      <w:outlineLvl w:val="2"/>
    </w:pPr>
    <w:rPr>
      <w:rFonts w:eastAsia="Arial"/>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99"/>
    <w:locked/>
    <w:rPr>
      <w:rFonts w:ascii="Arial" w:hAnsi="Arial" w:cs="Arial"/>
      <w:sz w:val="24"/>
      <w:szCs w:val="24"/>
    </w:rPr>
  </w:style>
  <w:style w:type="paragraph" w:styleId="ListParagraph">
    <w:name w:val="List Paragraph"/>
    <w:basedOn w:val="Normal"/>
    <w:uiPriority w:val="34"/>
    <w:qFormat/>
    <w:pPr>
      <w:ind w:left="1239" w:hanging="422"/>
    </w:pPr>
  </w:style>
  <w:style w:type="paragraph" w:customStyle="1" w:styleId="TableParagraph">
    <w:name w:val="Table Paragraph"/>
    <w:basedOn w:val="Normal"/>
    <w:uiPriority w:val="1"/>
    <w:qFormat/>
    <w:pPr>
      <w:spacing w:line="206" w:lineRule="exact"/>
      <w:ind w:left="105"/>
    </w:pPr>
  </w:style>
  <w:style w:type="table" w:styleId="TableGrid">
    <w:name w:val="Table Grid"/>
    <w:basedOn w:val="TableNormal"/>
    <w:uiPriority w:val="39"/>
    <w:rsid w:val="005D7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C356A"/>
    <w:rPr>
      <w:rFonts w:cs="Times New Roman"/>
      <w:color w:val="0000FF"/>
      <w:u w:val="single"/>
    </w:rPr>
  </w:style>
  <w:style w:type="paragraph" w:styleId="BalloonText">
    <w:name w:val="Balloon Text"/>
    <w:basedOn w:val="Normal"/>
    <w:link w:val="BalloonTextChar"/>
    <w:uiPriority w:val="99"/>
    <w:semiHidden/>
    <w:unhideWhenUsed/>
    <w:rsid w:val="00F528E3"/>
    <w:rPr>
      <w:rFonts w:ascii="Segoe UI" w:hAnsi="Segoe UI" w:cs="Segoe UI"/>
      <w:sz w:val="18"/>
      <w:szCs w:val="18"/>
    </w:rPr>
  </w:style>
  <w:style w:type="character" w:customStyle="1" w:styleId="BalloonTextChar">
    <w:name w:val="Balloon Text Char"/>
    <w:link w:val="BalloonText"/>
    <w:uiPriority w:val="99"/>
    <w:semiHidden/>
    <w:locked/>
    <w:rsid w:val="00F528E3"/>
    <w:rPr>
      <w:rFonts w:ascii="Segoe UI" w:hAnsi="Segoe UI" w:cs="Segoe UI"/>
      <w:sz w:val="18"/>
      <w:szCs w:val="18"/>
    </w:rPr>
  </w:style>
  <w:style w:type="character" w:styleId="UnresolvedMention">
    <w:name w:val="Unresolved Mention"/>
    <w:uiPriority w:val="99"/>
    <w:semiHidden/>
    <w:unhideWhenUsed/>
    <w:rsid w:val="0051036A"/>
    <w:rPr>
      <w:rFonts w:cs="Times New Roman"/>
      <w:color w:val="605E5C"/>
      <w:shd w:val="clear" w:color="auto" w:fill="E1DFDD"/>
    </w:rPr>
  </w:style>
  <w:style w:type="paragraph" w:styleId="Header">
    <w:name w:val="header"/>
    <w:basedOn w:val="Normal"/>
    <w:link w:val="HeaderChar"/>
    <w:uiPriority w:val="99"/>
    <w:unhideWhenUsed/>
    <w:rsid w:val="00E20C48"/>
    <w:pPr>
      <w:tabs>
        <w:tab w:val="center" w:pos="4513"/>
        <w:tab w:val="right" w:pos="9026"/>
      </w:tabs>
    </w:pPr>
  </w:style>
  <w:style w:type="character" w:customStyle="1" w:styleId="HeaderChar">
    <w:name w:val="Header Char"/>
    <w:link w:val="Header"/>
    <w:uiPriority w:val="99"/>
    <w:locked/>
    <w:rsid w:val="00E20C48"/>
    <w:rPr>
      <w:rFonts w:ascii="Arial" w:hAnsi="Arial" w:cs="Arial"/>
      <w:sz w:val="24"/>
      <w:szCs w:val="24"/>
    </w:rPr>
  </w:style>
  <w:style w:type="paragraph" w:styleId="Footer">
    <w:name w:val="footer"/>
    <w:basedOn w:val="Normal"/>
    <w:link w:val="FooterChar"/>
    <w:uiPriority w:val="99"/>
    <w:unhideWhenUsed/>
    <w:rsid w:val="00E20C48"/>
    <w:pPr>
      <w:tabs>
        <w:tab w:val="center" w:pos="4513"/>
        <w:tab w:val="right" w:pos="9026"/>
      </w:tabs>
    </w:pPr>
  </w:style>
  <w:style w:type="character" w:customStyle="1" w:styleId="FooterChar">
    <w:name w:val="Footer Char"/>
    <w:link w:val="Footer"/>
    <w:uiPriority w:val="99"/>
    <w:locked/>
    <w:rsid w:val="00E20C48"/>
    <w:rPr>
      <w:rFonts w:ascii="Arial" w:hAnsi="Arial" w:cs="Arial"/>
      <w:sz w:val="24"/>
      <w:szCs w:val="24"/>
    </w:rPr>
  </w:style>
  <w:style w:type="character" w:styleId="CommentReference">
    <w:name w:val="annotation reference"/>
    <w:uiPriority w:val="99"/>
    <w:semiHidden/>
    <w:unhideWhenUsed/>
    <w:rsid w:val="00904111"/>
    <w:rPr>
      <w:sz w:val="16"/>
      <w:szCs w:val="16"/>
    </w:rPr>
  </w:style>
  <w:style w:type="paragraph" w:styleId="CommentText">
    <w:name w:val="annotation text"/>
    <w:basedOn w:val="Normal"/>
    <w:link w:val="CommentTextChar"/>
    <w:uiPriority w:val="99"/>
    <w:unhideWhenUsed/>
    <w:rsid w:val="00904111"/>
    <w:rPr>
      <w:sz w:val="20"/>
      <w:szCs w:val="20"/>
    </w:rPr>
  </w:style>
  <w:style w:type="character" w:customStyle="1" w:styleId="CommentTextChar">
    <w:name w:val="Comment Text Char"/>
    <w:link w:val="CommentText"/>
    <w:uiPriority w:val="99"/>
    <w:rsid w:val="00904111"/>
    <w:rPr>
      <w:rFonts w:ascii="Arial" w:hAnsi="Arial" w:cs="Arial"/>
    </w:rPr>
  </w:style>
  <w:style w:type="paragraph" w:styleId="CommentSubject">
    <w:name w:val="annotation subject"/>
    <w:basedOn w:val="CommentText"/>
    <w:next w:val="CommentText"/>
    <w:link w:val="CommentSubjectChar"/>
    <w:uiPriority w:val="99"/>
    <w:semiHidden/>
    <w:unhideWhenUsed/>
    <w:rsid w:val="00904111"/>
    <w:rPr>
      <w:b/>
      <w:bCs/>
    </w:rPr>
  </w:style>
  <w:style w:type="character" w:customStyle="1" w:styleId="CommentSubjectChar">
    <w:name w:val="Comment Subject Char"/>
    <w:link w:val="CommentSubject"/>
    <w:uiPriority w:val="99"/>
    <w:semiHidden/>
    <w:rsid w:val="00904111"/>
    <w:rPr>
      <w:rFonts w:ascii="Arial" w:hAnsi="Arial" w:cs="Arial"/>
      <w:b/>
      <w:bCs/>
    </w:rPr>
  </w:style>
  <w:style w:type="character" w:styleId="FollowedHyperlink">
    <w:name w:val="FollowedHyperlink"/>
    <w:basedOn w:val="DefaultParagraphFont"/>
    <w:uiPriority w:val="99"/>
    <w:semiHidden/>
    <w:unhideWhenUsed/>
    <w:rsid w:val="00EF419E"/>
    <w:rPr>
      <w:color w:val="954F72" w:themeColor="followedHyperlink"/>
      <w:u w:val="single"/>
    </w:rPr>
  </w:style>
  <w:style w:type="paragraph" w:styleId="FootnoteText">
    <w:name w:val="footnote text"/>
    <w:basedOn w:val="Normal"/>
    <w:link w:val="FootnoteTextChar"/>
    <w:uiPriority w:val="99"/>
    <w:semiHidden/>
    <w:unhideWhenUsed/>
    <w:rsid w:val="00B74C18"/>
    <w:rPr>
      <w:sz w:val="20"/>
      <w:szCs w:val="20"/>
    </w:rPr>
  </w:style>
  <w:style w:type="character" w:customStyle="1" w:styleId="FootnoteTextChar">
    <w:name w:val="Footnote Text Char"/>
    <w:basedOn w:val="DefaultParagraphFont"/>
    <w:link w:val="FootnoteText"/>
    <w:uiPriority w:val="99"/>
    <w:semiHidden/>
    <w:rsid w:val="00B74C18"/>
    <w:rPr>
      <w:rFonts w:ascii="Arial" w:hAnsi="Arial" w:cs="Arial"/>
    </w:rPr>
  </w:style>
  <w:style w:type="character" w:styleId="FootnoteReference">
    <w:name w:val="footnote reference"/>
    <w:basedOn w:val="DefaultParagraphFont"/>
    <w:uiPriority w:val="99"/>
    <w:semiHidden/>
    <w:unhideWhenUsed/>
    <w:rsid w:val="00B74C18"/>
    <w:rPr>
      <w:vertAlign w:val="superscript"/>
    </w:rPr>
  </w:style>
  <w:style w:type="paragraph" w:customStyle="1" w:styleId="Default">
    <w:name w:val="Default"/>
    <w:rsid w:val="005927D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156AD"/>
    <w:rPr>
      <w:rFonts w:ascii="Arial" w:hAnsi="Arial" w:cs="Arial"/>
      <w:sz w:val="24"/>
      <w:szCs w:val="24"/>
    </w:rPr>
  </w:style>
  <w:style w:type="paragraph" w:customStyle="1" w:styleId="xmsonormal">
    <w:name w:val="x_msonormal"/>
    <w:basedOn w:val="Normal"/>
    <w:rsid w:val="005F6637"/>
    <w:pPr>
      <w:widowControl/>
      <w:autoSpaceDE/>
      <w:autoSpaceDN/>
      <w:adjustRightInd/>
      <w:spacing w:before="100" w:beforeAutospacing="1" w:after="100" w:afterAutospacing="1"/>
    </w:pPr>
    <w:rPr>
      <w:rFonts w:ascii="Times New Roman" w:hAnsi="Times New Roman" w:cs="Times New Roman"/>
    </w:rPr>
  </w:style>
  <w:style w:type="character" w:customStyle="1" w:styleId="mark6xpaa0h8p">
    <w:name w:val="mark6xpaa0h8p"/>
    <w:basedOn w:val="DefaultParagraphFont"/>
    <w:rsid w:val="005F6637"/>
  </w:style>
  <w:style w:type="character" w:customStyle="1" w:styleId="Heading3Char">
    <w:name w:val="Heading 3 Char"/>
    <w:basedOn w:val="DefaultParagraphFont"/>
    <w:link w:val="Heading3"/>
    <w:uiPriority w:val="9"/>
    <w:rsid w:val="000C22DE"/>
    <w:rPr>
      <w:rFonts w:ascii="Arial" w:eastAsia="Arial" w:hAnsi="Arial" w:cs="Arial"/>
      <w:lang w:val="en-US" w:eastAsia="en-US"/>
    </w:rPr>
  </w:style>
  <w:style w:type="paragraph" w:styleId="TOC1">
    <w:name w:val="toc 1"/>
    <w:basedOn w:val="Normal"/>
    <w:uiPriority w:val="1"/>
    <w:qFormat/>
    <w:rsid w:val="000C22DE"/>
    <w:pPr>
      <w:adjustRightInd/>
      <w:spacing w:before="192"/>
      <w:ind w:left="120"/>
    </w:pPr>
    <w:rPr>
      <w:rFonts w:eastAsia="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23954">
      <w:bodyDiv w:val="1"/>
      <w:marLeft w:val="0"/>
      <w:marRight w:val="0"/>
      <w:marTop w:val="0"/>
      <w:marBottom w:val="0"/>
      <w:divBdr>
        <w:top w:val="none" w:sz="0" w:space="0" w:color="auto"/>
        <w:left w:val="none" w:sz="0" w:space="0" w:color="auto"/>
        <w:bottom w:val="none" w:sz="0" w:space="0" w:color="auto"/>
        <w:right w:val="none" w:sz="0" w:space="0" w:color="auto"/>
      </w:divBdr>
    </w:div>
    <w:div w:id="94714377">
      <w:bodyDiv w:val="1"/>
      <w:marLeft w:val="0"/>
      <w:marRight w:val="0"/>
      <w:marTop w:val="0"/>
      <w:marBottom w:val="0"/>
      <w:divBdr>
        <w:top w:val="none" w:sz="0" w:space="0" w:color="auto"/>
        <w:left w:val="none" w:sz="0" w:space="0" w:color="auto"/>
        <w:bottom w:val="none" w:sz="0" w:space="0" w:color="auto"/>
        <w:right w:val="none" w:sz="0" w:space="0" w:color="auto"/>
      </w:divBdr>
    </w:div>
    <w:div w:id="135029247">
      <w:bodyDiv w:val="1"/>
      <w:marLeft w:val="0"/>
      <w:marRight w:val="0"/>
      <w:marTop w:val="0"/>
      <w:marBottom w:val="0"/>
      <w:divBdr>
        <w:top w:val="none" w:sz="0" w:space="0" w:color="auto"/>
        <w:left w:val="none" w:sz="0" w:space="0" w:color="auto"/>
        <w:bottom w:val="none" w:sz="0" w:space="0" w:color="auto"/>
        <w:right w:val="none" w:sz="0" w:space="0" w:color="auto"/>
      </w:divBdr>
    </w:div>
    <w:div w:id="177744568">
      <w:bodyDiv w:val="1"/>
      <w:marLeft w:val="0"/>
      <w:marRight w:val="0"/>
      <w:marTop w:val="0"/>
      <w:marBottom w:val="0"/>
      <w:divBdr>
        <w:top w:val="none" w:sz="0" w:space="0" w:color="auto"/>
        <w:left w:val="none" w:sz="0" w:space="0" w:color="auto"/>
        <w:bottom w:val="none" w:sz="0" w:space="0" w:color="auto"/>
        <w:right w:val="none" w:sz="0" w:space="0" w:color="auto"/>
      </w:divBdr>
    </w:div>
    <w:div w:id="307173940">
      <w:bodyDiv w:val="1"/>
      <w:marLeft w:val="0"/>
      <w:marRight w:val="0"/>
      <w:marTop w:val="0"/>
      <w:marBottom w:val="0"/>
      <w:divBdr>
        <w:top w:val="none" w:sz="0" w:space="0" w:color="auto"/>
        <w:left w:val="none" w:sz="0" w:space="0" w:color="auto"/>
        <w:bottom w:val="none" w:sz="0" w:space="0" w:color="auto"/>
        <w:right w:val="none" w:sz="0" w:space="0" w:color="auto"/>
      </w:divBdr>
    </w:div>
    <w:div w:id="313919890">
      <w:bodyDiv w:val="1"/>
      <w:marLeft w:val="0"/>
      <w:marRight w:val="0"/>
      <w:marTop w:val="0"/>
      <w:marBottom w:val="0"/>
      <w:divBdr>
        <w:top w:val="none" w:sz="0" w:space="0" w:color="auto"/>
        <w:left w:val="none" w:sz="0" w:space="0" w:color="auto"/>
        <w:bottom w:val="none" w:sz="0" w:space="0" w:color="auto"/>
        <w:right w:val="none" w:sz="0" w:space="0" w:color="auto"/>
      </w:divBdr>
    </w:div>
    <w:div w:id="332342455">
      <w:bodyDiv w:val="1"/>
      <w:marLeft w:val="0"/>
      <w:marRight w:val="0"/>
      <w:marTop w:val="0"/>
      <w:marBottom w:val="0"/>
      <w:divBdr>
        <w:top w:val="none" w:sz="0" w:space="0" w:color="auto"/>
        <w:left w:val="none" w:sz="0" w:space="0" w:color="auto"/>
        <w:bottom w:val="none" w:sz="0" w:space="0" w:color="auto"/>
        <w:right w:val="none" w:sz="0" w:space="0" w:color="auto"/>
      </w:divBdr>
    </w:div>
    <w:div w:id="352531940">
      <w:bodyDiv w:val="1"/>
      <w:marLeft w:val="0"/>
      <w:marRight w:val="0"/>
      <w:marTop w:val="0"/>
      <w:marBottom w:val="0"/>
      <w:divBdr>
        <w:top w:val="none" w:sz="0" w:space="0" w:color="auto"/>
        <w:left w:val="none" w:sz="0" w:space="0" w:color="auto"/>
        <w:bottom w:val="none" w:sz="0" w:space="0" w:color="auto"/>
        <w:right w:val="none" w:sz="0" w:space="0" w:color="auto"/>
      </w:divBdr>
    </w:div>
    <w:div w:id="462773022">
      <w:bodyDiv w:val="1"/>
      <w:marLeft w:val="0"/>
      <w:marRight w:val="0"/>
      <w:marTop w:val="0"/>
      <w:marBottom w:val="0"/>
      <w:divBdr>
        <w:top w:val="none" w:sz="0" w:space="0" w:color="auto"/>
        <w:left w:val="none" w:sz="0" w:space="0" w:color="auto"/>
        <w:bottom w:val="none" w:sz="0" w:space="0" w:color="auto"/>
        <w:right w:val="none" w:sz="0" w:space="0" w:color="auto"/>
      </w:divBdr>
    </w:div>
    <w:div w:id="519777180">
      <w:bodyDiv w:val="1"/>
      <w:marLeft w:val="0"/>
      <w:marRight w:val="0"/>
      <w:marTop w:val="0"/>
      <w:marBottom w:val="0"/>
      <w:divBdr>
        <w:top w:val="none" w:sz="0" w:space="0" w:color="auto"/>
        <w:left w:val="none" w:sz="0" w:space="0" w:color="auto"/>
        <w:bottom w:val="none" w:sz="0" w:space="0" w:color="auto"/>
        <w:right w:val="none" w:sz="0" w:space="0" w:color="auto"/>
      </w:divBdr>
    </w:div>
    <w:div w:id="600407721">
      <w:bodyDiv w:val="1"/>
      <w:marLeft w:val="0"/>
      <w:marRight w:val="0"/>
      <w:marTop w:val="0"/>
      <w:marBottom w:val="0"/>
      <w:divBdr>
        <w:top w:val="none" w:sz="0" w:space="0" w:color="auto"/>
        <w:left w:val="none" w:sz="0" w:space="0" w:color="auto"/>
        <w:bottom w:val="none" w:sz="0" w:space="0" w:color="auto"/>
        <w:right w:val="none" w:sz="0" w:space="0" w:color="auto"/>
      </w:divBdr>
    </w:div>
    <w:div w:id="605847407">
      <w:bodyDiv w:val="1"/>
      <w:marLeft w:val="0"/>
      <w:marRight w:val="0"/>
      <w:marTop w:val="0"/>
      <w:marBottom w:val="0"/>
      <w:divBdr>
        <w:top w:val="none" w:sz="0" w:space="0" w:color="auto"/>
        <w:left w:val="none" w:sz="0" w:space="0" w:color="auto"/>
        <w:bottom w:val="none" w:sz="0" w:space="0" w:color="auto"/>
        <w:right w:val="none" w:sz="0" w:space="0" w:color="auto"/>
      </w:divBdr>
    </w:div>
    <w:div w:id="631518968">
      <w:bodyDiv w:val="1"/>
      <w:marLeft w:val="0"/>
      <w:marRight w:val="0"/>
      <w:marTop w:val="0"/>
      <w:marBottom w:val="0"/>
      <w:divBdr>
        <w:top w:val="none" w:sz="0" w:space="0" w:color="auto"/>
        <w:left w:val="none" w:sz="0" w:space="0" w:color="auto"/>
        <w:bottom w:val="none" w:sz="0" w:space="0" w:color="auto"/>
        <w:right w:val="none" w:sz="0" w:space="0" w:color="auto"/>
      </w:divBdr>
    </w:div>
    <w:div w:id="634720812">
      <w:bodyDiv w:val="1"/>
      <w:marLeft w:val="0"/>
      <w:marRight w:val="0"/>
      <w:marTop w:val="0"/>
      <w:marBottom w:val="0"/>
      <w:divBdr>
        <w:top w:val="none" w:sz="0" w:space="0" w:color="auto"/>
        <w:left w:val="none" w:sz="0" w:space="0" w:color="auto"/>
        <w:bottom w:val="none" w:sz="0" w:space="0" w:color="auto"/>
        <w:right w:val="none" w:sz="0" w:space="0" w:color="auto"/>
      </w:divBdr>
    </w:div>
    <w:div w:id="650839206">
      <w:bodyDiv w:val="1"/>
      <w:marLeft w:val="0"/>
      <w:marRight w:val="0"/>
      <w:marTop w:val="0"/>
      <w:marBottom w:val="0"/>
      <w:divBdr>
        <w:top w:val="none" w:sz="0" w:space="0" w:color="auto"/>
        <w:left w:val="none" w:sz="0" w:space="0" w:color="auto"/>
        <w:bottom w:val="none" w:sz="0" w:space="0" w:color="auto"/>
        <w:right w:val="none" w:sz="0" w:space="0" w:color="auto"/>
      </w:divBdr>
    </w:div>
    <w:div w:id="732583151">
      <w:bodyDiv w:val="1"/>
      <w:marLeft w:val="0"/>
      <w:marRight w:val="0"/>
      <w:marTop w:val="0"/>
      <w:marBottom w:val="0"/>
      <w:divBdr>
        <w:top w:val="none" w:sz="0" w:space="0" w:color="auto"/>
        <w:left w:val="none" w:sz="0" w:space="0" w:color="auto"/>
        <w:bottom w:val="none" w:sz="0" w:space="0" w:color="auto"/>
        <w:right w:val="none" w:sz="0" w:space="0" w:color="auto"/>
      </w:divBdr>
      <w:divsChild>
        <w:div w:id="44990020">
          <w:marLeft w:val="0"/>
          <w:marRight w:val="0"/>
          <w:marTop w:val="0"/>
          <w:marBottom w:val="0"/>
          <w:divBdr>
            <w:top w:val="none" w:sz="0" w:space="0" w:color="auto"/>
            <w:left w:val="none" w:sz="0" w:space="0" w:color="auto"/>
            <w:bottom w:val="none" w:sz="0" w:space="0" w:color="auto"/>
            <w:right w:val="none" w:sz="0" w:space="0" w:color="auto"/>
          </w:divBdr>
        </w:div>
        <w:div w:id="58792511">
          <w:marLeft w:val="0"/>
          <w:marRight w:val="0"/>
          <w:marTop w:val="0"/>
          <w:marBottom w:val="0"/>
          <w:divBdr>
            <w:top w:val="none" w:sz="0" w:space="0" w:color="auto"/>
            <w:left w:val="none" w:sz="0" w:space="0" w:color="auto"/>
            <w:bottom w:val="none" w:sz="0" w:space="0" w:color="auto"/>
            <w:right w:val="none" w:sz="0" w:space="0" w:color="auto"/>
          </w:divBdr>
        </w:div>
        <w:div w:id="166484742">
          <w:marLeft w:val="0"/>
          <w:marRight w:val="0"/>
          <w:marTop w:val="0"/>
          <w:marBottom w:val="0"/>
          <w:divBdr>
            <w:top w:val="none" w:sz="0" w:space="0" w:color="auto"/>
            <w:left w:val="none" w:sz="0" w:space="0" w:color="auto"/>
            <w:bottom w:val="none" w:sz="0" w:space="0" w:color="auto"/>
            <w:right w:val="none" w:sz="0" w:space="0" w:color="auto"/>
          </w:divBdr>
        </w:div>
        <w:div w:id="196940531">
          <w:marLeft w:val="0"/>
          <w:marRight w:val="0"/>
          <w:marTop w:val="0"/>
          <w:marBottom w:val="0"/>
          <w:divBdr>
            <w:top w:val="none" w:sz="0" w:space="0" w:color="auto"/>
            <w:left w:val="none" w:sz="0" w:space="0" w:color="auto"/>
            <w:bottom w:val="none" w:sz="0" w:space="0" w:color="auto"/>
            <w:right w:val="none" w:sz="0" w:space="0" w:color="auto"/>
          </w:divBdr>
        </w:div>
        <w:div w:id="212616851">
          <w:marLeft w:val="0"/>
          <w:marRight w:val="0"/>
          <w:marTop w:val="0"/>
          <w:marBottom w:val="0"/>
          <w:divBdr>
            <w:top w:val="none" w:sz="0" w:space="0" w:color="auto"/>
            <w:left w:val="none" w:sz="0" w:space="0" w:color="auto"/>
            <w:bottom w:val="none" w:sz="0" w:space="0" w:color="auto"/>
            <w:right w:val="none" w:sz="0" w:space="0" w:color="auto"/>
          </w:divBdr>
        </w:div>
        <w:div w:id="238565022">
          <w:marLeft w:val="0"/>
          <w:marRight w:val="0"/>
          <w:marTop w:val="0"/>
          <w:marBottom w:val="0"/>
          <w:divBdr>
            <w:top w:val="none" w:sz="0" w:space="0" w:color="auto"/>
            <w:left w:val="none" w:sz="0" w:space="0" w:color="auto"/>
            <w:bottom w:val="none" w:sz="0" w:space="0" w:color="auto"/>
            <w:right w:val="none" w:sz="0" w:space="0" w:color="auto"/>
          </w:divBdr>
        </w:div>
        <w:div w:id="328874224">
          <w:marLeft w:val="0"/>
          <w:marRight w:val="0"/>
          <w:marTop w:val="0"/>
          <w:marBottom w:val="0"/>
          <w:divBdr>
            <w:top w:val="none" w:sz="0" w:space="0" w:color="auto"/>
            <w:left w:val="none" w:sz="0" w:space="0" w:color="auto"/>
            <w:bottom w:val="none" w:sz="0" w:space="0" w:color="auto"/>
            <w:right w:val="none" w:sz="0" w:space="0" w:color="auto"/>
          </w:divBdr>
        </w:div>
        <w:div w:id="628977777">
          <w:marLeft w:val="0"/>
          <w:marRight w:val="0"/>
          <w:marTop w:val="0"/>
          <w:marBottom w:val="0"/>
          <w:divBdr>
            <w:top w:val="none" w:sz="0" w:space="0" w:color="auto"/>
            <w:left w:val="none" w:sz="0" w:space="0" w:color="auto"/>
            <w:bottom w:val="none" w:sz="0" w:space="0" w:color="auto"/>
            <w:right w:val="none" w:sz="0" w:space="0" w:color="auto"/>
          </w:divBdr>
        </w:div>
        <w:div w:id="662244553">
          <w:marLeft w:val="0"/>
          <w:marRight w:val="0"/>
          <w:marTop w:val="0"/>
          <w:marBottom w:val="0"/>
          <w:divBdr>
            <w:top w:val="none" w:sz="0" w:space="0" w:color="auto"/>
            <w:left w:val="none" w:sz="0" w:space="0" w:color="auto"/>
            <w:bottom w:val="none" w:sz="0" w:space="0" w:color="auto"/>
            <w:right w:val="none" w:sz="0" w:space="0" w:color="auto"/>
          </w:divBdr>
        </w:div>
        <w:div w:id="664670124">
          <w:marLeft w:val="0"/>
          <w:marRight w:val="0"/>
          <w:marTop w:val="0"/>
          <w:marBottom w:val="0"/>
          <w:divBdr>
            <w:top w:val="none" w:sz="0" w:space="0" w:color="auto"/>
            <w:left w:val="none" w:sz="0" w:space="0" w:color="auto"/>
            <w:bottom w:val="none" w:sz="0" w:space="0" w:color="auto"/>
            <w:right w:val="none" w:sz="0" w:space="0" w:color="auto"/>
          </w:divBdr>
        </w:div>
        <w:div w:id="743836886">
          <w:marLeft w:val="0"/>
          <w:marRight w:val="0"/>
          <w:marTop w:val="0"/>
          <w:marBottom w:val="0"/>
          <w:divBdr>
            <w:top w:val="none" w:sz="0" w:space="0" w:color="auto"/>
            <w:left w:val="none" w:sz="0" w:space="0" w:color="auto"/>
            <w:bottom w:val="none" w:sz="0" w:space="0" w:color="auto"/>
            <w:right w:val="none" w:sz="0" w:space="0" w:color="auto"/>
          </w:divBdr>
        </w:div>
        <w:div w:id="785926625">
          <w:marLeft w:val="0"/>
          <w:marRight w:val="0"/>
          <w:marTop w:val="0"/>
          <w:marBottom w:val="0"/>
          <w:divBdr>
            <w:top w:val="none" w:sz="0" w:space="0" w:color="auto"/>
            <w:left w:val="none" w:sz="0" w:space="0" w:color="auto"/>
            <w:bottom w:val="none" w:sz="0" w:space="0" w:color="auto"/>
            <w:right w:val="none" w:sz="0" w:space="0" w:color="auto"/>
          </w:divBdr>
        </w:div>
        <w:div w:id="1058823947">
          <w:marLeft w:val="0"/>
          <w:marRight w:val="0"/>
          <w:marTop w:val="0"/>
          <w:marBottom w:val="0"/>
          <w:divBdr>
            <w:top w:val="none" w:sz="0" w:space="0" w:color="auto"/>
            <w:left w:val="none" w:sz="0" w:space="0" w:color="auto"/>
            <w:bottom w:val="none" w:sz="0" w:space="0" w:color="auto"/>
            <w:right w:val="none" w:sz="0" w:space="0" w:color="auto"/>
          </w:divBdr>
        </w:div>
        <w:div w:id="1062363858">
          <w:marLeft w:val="0"/>
          <w:marRight w:val="0"/>
          <w:marTop w:val="0"/>
          <w:marBottom w:val="0"/>
          <w:divBdr>
            <w:top w:val="none" w:sz="0" w:space="0" w:color="auto"/>
            <w:left w:val="none" w:sz="0" w:space="0" w:color="auto"/>
            <w:bottom w:val="none" w:sz="0" w:space="0" w:color="auto"/>
            <w:right w:val="none" w:sz="0" w:space="0" w:color="auto"/>
          </w:divBdr>
        </w:div>
        <w:div w:id="1155218841">
          <w:marLeft w:val="0"/>
          <w:marRight w:val="0"/>
          <w:marTop w:val="0"/>
          <w:marBottom w:val="0"/>
          <w:divBdr>
            <w:top w:val="none" w:sz="0" w:space="0" w:color="auto"/>
            <w:left w:val="none" w:sz="0" w:space="0" w:color="auto"/>
            <w:bottom w:val="none" w:sz="0" w:space="0" w:color="auto"/>
            <w:right w:val="none" w:sz="0" w:space="0" w:color="auto"/>
          </w:divBdr>
        </w:div>
        <w:div w:id="1205825726">
          <w:marLeft w:val="0"/>
          <w:marRight w:val="0"/>
          <w:marTop w:val="0"/>
          <w:marBottom w:val="0"/>
          <w:divBdr>
            <w:top w:val="none" w:sz="0" w:space="0" w:color="auto"/>
            <w:left w:val="none" w:sz="0" w:space="0" w:color="auto"/>
            <w:bottom w:val="none" w:sz="0" w:space="0" w:color="auto"/>
            <w:right w:val="none" w:sz="0" w:space="0" w:color="auto"/>
          </w:divBdr>
        </w:div>
        <w:div w:id="1214999606">
          <w:marLeft w:val="0"/>
          <w:marRight w:val="0"/>
          <w:marTop w:val="0"/>
          <w:marBottom w:val="0"/>
          <w:divBdr>
            <w:top w:val="none" w:sz="0" w:space="0" w:color="auto"/>
            <w:left w:val="none" w:sz="0" w:space="0" w:color="auto"/>
            <w:bottom w:val="none" w:sz="0" w:space="0" w:color="auto"/>
            <w:right w:val="none" w:sz="0" w:space="0" w:color="auto"/>
          </w:divBdr>
        </w:div>
        <w:div w:id="1331569046">
          <w:marLeft w:val="0"/>
          <w:marRight w:val="0"/>
          <w:marTop w:val="0"/>
          <w:marBottom w:val="0"/>
          <w:divBdr>
            <w:top w:val="none" w:sz="0" w:space="0" w:color="auto"/>
            <w:left w:val="none" w:sz="0" w:space="0" w:color="auto"/>
            <w:bottom w:val="none" w:sz="0" w:space="0" w:color="auto"/>
            <w:right w:val="none" w:sz="0" w:space="0" w:color="auto"/>
          </w:divBdr>
        </w:div>
        <w:div w:id="1362587710">
          <w:marLeft w:val="0"/>
          <w:marRight w:val="0"/>
          <w:marTop w:val="0"/>
          <w:marBottom w:val="0"/>
          <w:divBdr>
            <w:top w:val="none" w:sz="0" w:space="0" w:color="auto"/>
            <w:left w:val="none" w:sz="0" w:space="0" w:color="auto"/>
            <w:bottom w:val="none" w:sz="0" w:space="0" w:color="auto"/>
            <w:right w:val="none" w:sz="0" w:space="0" w:color="auto"/>
          </w:divBdr>
        </w:div>
        <w:div w:id="1422798590">
          <w:marLeft w:val="0"/>
          <w:marRight w:val="0"/>
          <w:marTop w:val="0"/>
          <w:marBottom w:val="0"/>
          <w:divBdr>
            <w:top w:val="none" w:sz="0" w:space="0" w:color="auto"/>
            <w:left w:val="none" w:sz="0" w:space="0" w:color="auto"/>
            <w:bottom w:val="none" w:sz="0" w:space="0" w:color="auto"/>
            <w:right w:val="none" w:sz="0" w:space="0" w:color="auto"/>
          </w:divBdr>
        </w:div>
        <w:div w:id="1480031653">
          <w:marLeft w:val="0"/>
          <w:marRight w:val="0"/>
          <w:marTop w:val="0"/>
          <w:marBottom w:val="0"/>
          <w:divBdr>
            <w:top w:val="none" w:sz="0" w:space="0" w:color="auto"/>
            <w:left w:val="none" w:sz="0" w:space="0" w:color="auto"/>
            <w:bottom w:val="none" w:sz="0" w:space="0" w:color="auto"/>
            <w:right w:val="none" w:sz="0" w:space="0" w:color="auto"/>
          </w:divBdr>
        </w:div>
        <w:div w:id="1563298319">
          <w:marLeft w:val="0"/>
          <w:marRight w:val="0"/>
          <w:marTop w:val="0"/>
          <w:marBottom w:val="0"/>
          <w:divBdr>
            <w:top w:val="none" w:sz="0" w:space="0" w:color="auto"/>
            <w:left w:val="none" w:sz="0" w:space="0" w:color="auto"/>
            <w:bottom w:val="none" w:sz="0" w:space="0" w:color="auto"/>
            <w:right w:val="none" w:sz="0" w:space="0" w:color="auto"/>
          </w:divBdr>
        </w:div>
        <w:div w:id="1603681296">
          <w:marLeft w:val="0"/>
          <w:marRight w:val="0"/>
          <w:marTop w:val="0"/>
          <w:marBottom w:val="0"/>
          <w:divBdr>
            <w:top w:val="none" w:sz="0" w:space="0" w:color="auto"/>
            <w:left w:val="none" w:sz="0" w:space="0" w:color="auto"/>
            <w:bottom w:val="none" w:sz="0" w:space="0" w:color="auto"/>
            <w:right w:val="none" w:sz="0" w:space="0" w:color="auto"/>
          </w:divBdr>
        </w:div>
        <w:div w:id="1957056249">
          <w:marLeft w:val="0"/>
          <w:marRight w:val="0"/>
          <w:marTop w:val="0"/>
          <w:marBottom w:val="0"/>
          <w:divBdr>
            <w:top w:val="none" w:sz="0" w:space="0" w:color="auto"/>
            <w:left w:val="none" w:sz="0" w:space="0" w:color="auto"/>
            <w:bottom w:val="none" w:sz="0" w:space="0" w:color="auto"/>
            <w:right w:val="none" w:sz="0" w:space="0" w:color="auto"/>
          </w:divBdr>
        </w:div>
        <w:div w:id="2030568715">
          <w:marLeft w:val="0"/>
          <w:marRight w:val="0"/>
          <w:marTop w:val="0"/>
          <w:marBottom w:val="0"/>
          <w:divBdr>
            <w:top w:val="none" w:sz="0" w:space="0" w:color="auto"/>
            <w:left w:val="none" w:sz="0" w:space="0" w:color="auto"/>
            <w:bottom w:val="none" w:sz="0" w:space="0" w:color="auto"/>
            <w:right w:val="none" w:sz="0" w:space="0" w:color="auto"/>
          </w:divBdr>
        </w:div>
        <w:div w:id="2129663955">
          <w:marLeft w:val="0"/>
          <w:marRight w:val="0"/>
          <w:marTop w:val="0"/>
          <w:marBottom w:val="0"/>
          <w:divBdr>
            <w:top w:val="none" w:sz="0" w:space="0" w:color="auto"/>
            <w:left w:val="none" w:sz="0" w:space="0" w:color="auto"/>
            <w:bottom w:val="none" w:sz="0" w:space="0" w:color="auto"/>
            <w:right w:val="none" w:sz="0" w:space="0" w:color="auto"/>
          </w:divBdr>
        </w:div>
      </w:divsChild>
    </w:div>
    <w:div w:id="745299013">
      <w:bodyDiv w:val="1"/>
      <w:marLeft w:val="0"/>
      <w:marRight w:val="0"/>
      <w:marTop w:val="0"/>
      <w:marBottom w:val="0"/>
      <w:divBdr>
        <w:top w:val="none" w:sz="0" w:space="0" w:color="auto"/>
        <w:left w:val="none" w:sz="0" w:space="0" w:color="auto"/>
        <w:bottom w:val="none" w:sz="0" w:space="0" w:color="auto"/>
        <w:right w:val="none" w:sz="0" w:space="0" w:color="auto"/>
      </w:divBdr>
    </w:div>
    <w:div w:id="809054646">
      <w:bodyDiv w:val="1"/>
      <w:marLeft w:val="0"/>
      <w:marRight w:val="0"/>
      <w:marTop w:val="0"/>
      <w:marBottom w:val="0"/>
      <w:divBdr>
        <w:top w:val="none" w:sz="0" w:space="0" w:color="auto"/>
        <w:left w:val="none" w:sz="0" w:space="0" w:color="auto"/>
        <w:bottom w:val="none" w:sz="0" w:space="0" w:color="auto"/>
        <w:right w:val="none" w:sz="0" w:space="0" w:color="auto"/>
      </w:divBdr>
    </w:div>
    <w:div w:id="824052294">
      <w:bodyDiv w:val="1"/>
      <w:marLeft w:val="0"/>
      <w:marRight w:val="0"/>
      <w:marTop w:val="0"/>
      <w:marBottom w:val="0"/>
      <w:divBdr>
        <w:top w:val="none" w:sz="0" w:space="0" w:color="auto"/>
        <w:left w:val="none" w:sz="0" w:space="0" w:color="auto"/>
        <w:bottom w:val="none" w:sz="0" w:space="0" w:color="auto"/>
        <w:right w:val="none" w:sz="0" w:space="0" w:color="auto"/>
      </w:divBdr>
    </w:div>
    <w:div w:id="889418912">
      <w:bodyDiv w:val="1"/>
      <w:marLeft w:val="0"/>
      <w:marRight w:val="0"/>
      <w:marTop w:val="0"/>
      <w:marBottom w:val="0"/>
      <w:divBdr>
        <w:top w:val="none" w:sz="0" w:space="0" w:color="auto"/>
        <w:left w:val="none" w:sz="0" w:space="0" w:color="auto"/>
        <w:bottom w:val="none" w:sz="0" w:space="0" w:color="auto"/>
        <w:right w:val="none" w:sz="0" w:space="0" w:color="auto"/>
      </w:divBdr>
    </w:div>
    <w:div w:id="901869862">
      <w:bodyDiv w:val="1"/>
      <w:marLeft w:val="0"/>
      <w:marRight w:val="0"/>
      <w:marTop w:val="0"/>
      <w:marBottom w:val="0"/>
      <w:divBdr>
        <w:top w:val="none" w:sz="0" w:space="0" w:color="auto"/>
        <w:left w:val="none" w:sz="0" w:space="0" w:color="auto"/>
        <w:bottom w:val="none" w:sz="0" w:space="0" w:color="auto"/>
        <w:right w:val="none" w:sz="0" w:space="0" w:color="auto"/>
      </w:divBdr>
    </w:div>
    <w:div w:id="915743449">
      <w:bodyDiv w:val="1"/>
      <w:marLeft w:val="0"/>
      <w:marRight w:val="0"/>
      <w:marTop w:val="0"/>
      <w:marBottom w:val="0"/>
      <w:divBdr>
        <w:top w:val="none" w:sz="0" w:space="0" w:color="auto"/>
        <w:left w:val="none" w:sz="0" w:space="0" w:color="auto"/>
        <w:bottom w:val="none" w:sz="0" w:space="0" w:color="auto"/>
        <w:right w:val="none" w:sz="0" w:space="0" w:color="auto"/>
      </w:divBdr>
    </w:div>
    <w:div w:id="919018934">
      <w:bodyDiv w:val="1"/>
      <w:marLeft w:val="0"/>
      <w:marRight w:val="0"/>
      <w:marTop w:val="0"/>
      <w:marBottom w:val="0"/>
      <w:divBdr>
        <w:top w:val="none" w:sz="0" w:space="0" w:color="auto"/>
        <w:left w:val="none" w:sz="0" w:space="0" w:color="auto"/>
        <w:bottom w:val="none" w:sz="0" w:space="0" w:color="auto"/>
        <w:right w:val="none" w:sz="0" w:space="0" w:color="auto"/>
      </w:divBdr>
    </w:div>
    <w:div w:id="955285271">
      <w:bodyDiv w:val="1"/>
      <w:marLeft w:val="0"/>
      <w:marRight w:val="0"/>
      <w:marTop w:val="0"/>
      <w:marBottom w:val="0"/>
      <w:divBdr>
        <w:top w:val="none" w:sz="0" w:space="0" w:color="auto"/>
        <w:left w:val="none" w:sz="0" w:space="0" w:color="auto"/>
        <w:bottom w:val="none" w:sz="0" w:space="0" w:color="auto"/>
        <w:right w:val="none" w:sz="0" w:space="0" w:color="auto"/>
      </w:divBdr>
    </w:div>
    <w:div w:id="1010982446">
      <w:bodyDiv w:val="1"/>
      <w:marLeft w:val="0"/>
      <w:marRight w:val="0"/>
      <w:marTop w:val="0"/>
      <w:marBottom w:val="0"/>
      <w:divBdr>
        <w:top w:val="none" w:sz="0" w:space="0" w:color="auto"/>
        <w:left w:val="none" w:sz="0" w:space="0" w:color="auto"/>
        <w:bottom w:val="none" w:sz="0" w:space="0" w:color="auto"/>
        <w:right w:val="none" w:sz="0" w:space="0" w:color="auto"/>
      </w:divBdr>
    </w:div>
    <w:div w:id="1180125488">
      <w:bodyDiv w:val="1"/>
      <w:marLeft w:val="0"/>
      <w:marRight w:val="0"/>
      <w:marTop w:val="0"/>
      <w:marBottom w:val="0"/>
      <w:divBdr>
        <w:top w:val="none" w:sz="0" w:space="0" w:color="auto"/>
        <w:left w:val="none" w:sz="0" w:space="0" w:color="auto"/>
        <w:bottom w:val="none" w:sz="0" w:space="0" w:color="auto"/>
        <w:right w:val="none" w:sz="0" w:space="0" w:color="auto"/>
      </w:divBdr>
    </w:div>
    <w:div w:id="1249727787">
      <w:bodyDiv w:val="1"/>
      <w:marLeft w:val="0"/>
      <w:marRight w:val="0"/>
      <w:marTop w:val="0"/>
      <w:marBottom w:val="0"/>
      <w:divBdr>
        <w:top w:val="none" w:sz="0" w:space="0" w:color="auto"/>
        <w:left w:val="none" w:sz="0" w:space="0" w:color="auto"/>
        <w:bottom w:val="none" w:sz="0" w:space="0" w:color="auto"/>
        <w:right w:val="none" w:sz="0" w:space="0" w:color="auto"/>
      </w:divBdr>
    </w:div>
    <w:div w:id="1349016223">
      <w:bodyDiv w:val="1"/>
      <w:marLeft w:val="0"/>
      <w:marRight w:val="0"/>
      <w:marTop w:val="0"/>
      <w:marBottom w:val="0"/>
      <w:divBdr>
        <w:top w:val="none" w:sz="0" w:space="0" w:color="auto"/>
        <w:left w:val="none" w:sz="0" w:space="0" w:color="auto"/>
        <w:bottom w:val="none" w:sz="0" w:space="0" w:color="auto"/>
        <w:right w:val="none" w:sz="0" w:space="0" w:color="auto"/>
      </w:divBdr>
    </w:div>
    <w:div w:id="1390610441">
      <w:bodyDiv w:val="1"/>
      <w:marLeft w:val="0"/>
      <w:marRight w:val="0"/>
      <w:marTop w:val="0"/>
      <w:marBottom w:val="0"/>
      <w:divBdr>
        <w:top w:val="none" w:sz="0" w:space="0" w:color="auto"/>
        <w:left w:val="none" w:sz="0" w:space="0" w:color="auto"/>
        <w:bottom w:val="none" w:sz="0" w:space="0" w:color="auto"/>
        <w:right w:val="none" w:sz="0" w:space="0" w:color="auto"/>
      </w:divBdr>
    </w:div>
    <w:div w:id="1414467578">
      <w:bodyDiv w:val="1"/>
      <w:marLeft w:val="0"/>
      <w:marRight w:val="0"/>
      <w:marTop w:val="0"/>
      <w:marBottom w:val="0"/>
      <w:divBdr>
        <w:top w:val="none" w:sz="0" w:space="0" w:color="auto"/>
        <w:left w:val="none" w:sz="0" w:space="0" w:color="auto"/>
        <w:bottom w:val="none" w:sz="0" w:space="0" w:color="auto"/>
        <w:right w:val="none" w:sz="0" w:space="0" w:color="auto"/>
      </w:divBdr>
      <w:divsChild>
        <w:div w:id="655453821">
          <w:marLeft w:val="0"/>
          <w:marRight w:val="0"/>
          <w:marTop w:val="0"/>
          <w:marBottom w:val="0"/>
          <w:divBdr>
            <w:top w:val="none" w:sz="0" w:space="0" w:color="auto"/>
            <w:left w:val="none" w:sz="0" w:space="0" w:color="auto"/>
            <w:bottom w:val="none" w:sz="0" w:space="0" w:color="auto"/>
            <w:right w:val="none" w:sz="0" w:space="0" w:color="auto"/>
          </w:divBdr>
        </w:div>
      </w:divsChild>
    </w:div>
    <w:div w:id="1424112554">
      <w:bodyDiv w:val="1"/>
      <w:marLeft w:val="0"/>
      <w:marRight w:val="0"/>
      <w:marTop w:val="0"/>
      <w:marBottom w:val="0"/>
      <w:divBdr>
        <w:top w:val="none" w:sz="0" w:space="0" w:color="auto"/>
        <w:left w:val="none" w:sz="0" w:space="0" w:color="auto"/>
        <w:bottom w:val="none" w:sz="0" w:space="0" w:color="auto"/>
        <w:right w:val="none" w:sz="0" w:space="0" w:color="auto"/>
      </w:divBdr>
    </w:div>
    <w:div w:id="1461997446">
      <w:bodyDiv w:val="1"/>
      <w:marLeft w:val="0"/>
      <w:marRight w:val="0"/>
      <w:marTop w:val="0"/>
      <w:marBottom w:val="0"/>
      <w:divBdr>
        <w:top w:val="none" w:sz="0" w:space="0" w:color="auto"/>
        <w:left w:val="none" w:sz="0" w:space="0" w:color="auto"/>
        <w:bottom w:val="none" w:sz="0" w:space="0" w:color="auto"/>
        <w:right w:val="none" w:sz="0" w:space="0" w:color="auto"/>
      </w:divBdr>
    </w:div>
    <w:div w:id="1505196242">
      <w:bodyDiv w:val="1"/>
      <w:marLeft w:val="0"/>
      <w:marRight w:val="0"/>
      <w:marTop w:val="0"/>
      <w:marBottom w:val="0"/>
      <w:divBdr>
        <w:top w:val="none" w:sz="0" w:space="0" w:color="auto"/>
        <w:left w:val="none" w:sz="0" w:space="0" w:color="auto"/>
        <w:bottom w:val="none" w:sz="0" w:space="0" w:color="auto"/>
        <w:right w:val="none" w:sz="0" w:space="0" w:color="auto"/>
      </w:divBdr>
    </w:div>
    <w:div w:id="1583562596">
      <w:bodyDiv w:val="1"/>
      <w:marLeft w:val="0"/>
      <w:marRight w:val="0"/>
      <w:marTop w:val="0"/>
      <w:marBottom w:val="0"/>
      <w:divBdr>
        <w:top w:val="none" w:sz="0" w:space="0" w:color="auto"/>
        <w:left w:val="none" w:sz="0" w:space="0" w:color="auto"/>
        <w:bottom w:val="none" w:sz="0" w:space="0" w:color="auto"/>
        <w:right w:val="none" w:sz="0" w:space="0" w:color="auto"/>
      </w:divBdr>
    </w:div>
    <w:div w:id="1632519354">
      <w:bodyDiv w:val="1"/>
      <w:marLeft w:val="0"/>
      <w:marRight w:val="0"/>
      <w:marTop w:val="0"/>
      <w:marBottom w:val="0"/>
      <w:divBdr>
        <w:top w:val="none" w:sz="0" w:space="0" w:color="auto"/>
        <w:left w:val="none" w:sz="0" w:space="0" w:color="auto"/>
        <w:bottom w:val="none" w:sz="0" w:space="0" w:color="auto"/>
        <w:right w:val="none" w:sz="0" w:space="0" w:color="auto"/>
      </w:divBdr>
    </w:div>
    <w:div w:id="1655180837">
      <w:bodyDiv w:val="1"/>
      <w:marLeft w:val="0"/>
      <w:marRight w:val="0"/>
      <w:marTop w:val="0"/>
      <w:marBottom w:val="0"/>
      <w:divBdr>
        <w:top w:val="none" w:sz="0" w:space="0" w:color="auto"/>
        <w:left w:val="none" w:sz="0" w:space="0" w:color="auto"/>
        <w:bottom w:val="none" w:sz="0" w:space="0" w:color="auto"/>
        <w:right w:val="none" w:sz="0" w:space="0" w:color="auto"/>
      </w:divBdr>
    </w:div>
    <w:div w:id="1698774660">
      <w:bodyDiv w:val="1"/>
      <w:marLeft w:val="0"/>
      <w:marRight w:val="0"/>
      <w:marTop w:val="0"/>
      <w:marBottom w:val="0"/>
      <w:divBdr>
        <w:top w:val="none" w:sz="0" w:space="0" w:color="auto"/>
        <w:left w:val="none" w:sz="0" w:space="0" w:color="auto"/>
        <w:bottom w:val="none" w:sz="0" w:space="0" w:color="auto"/>
        <w:right w:val="none" w:sz="0" w:space="0" w:color="auto"/>
      </w:divBdr>
    </w:div>
    <w:div w:id="1710687726">
      <w:bodyDiv w:val="1"/>
      <w:marLeft w:val="0"/>
      <w:marRight w:val="0"/>
      <w:marTop w:val="0"/>
      <w:marBottom w:val="0"/>
      <w:divBdr>
        <w:top w:val="none" w:sz="0" w:space="0" w:color="auto"/>
        <w:left w:val="none" w:sz="0" w:space="0" w:color="auto"/>
        <w:bottom w:val="none" w:sz="0" w:space="0" w:color="auto"/>
        <w:right w:val="none" w:sz="0" w:space="0" w:color="auto"/>
      </w:divBdr>
    </w:div>
    <w:div w:id="1719669877">
      <w:bodyDiv w:val="1"/>
      <w:marLeft w:val="0"/>
      <w:marRight w:val="0"/>
      <w:marTop w:val="0"/>
      <w:marBottom w:val="0"/>
      <w:divBdr>
        <w:top w:val="none" w:sz="0" w:space="0" w:color="auto"/>
        <w:left w:val="none" w:sz="0" w:space="0" w:color="auto"/>
        <w:bottom w:val="none" w:sz="0" w:space="0" w:color="auto"/>
        <w:right w:val="none" w:sz="0" w:space="0" w:color="auto"/>
      </w:divBdr>
    </w:div>
    <w:div w:id="1782147931">
      <w:bodyDiv w:val="1"/>
      <w:marLeft w:val="0"/>
      <w:marRight w:val="0"/>
      <w:marTop w:val="0"/>
      <w:marBottom w:val="0"/>
      <w:divBdr>
        <w:top w:val="none" w:sz="0" w:space="0" w:color="auto"/>
        <w:left w:val="none" w:sz="0" w:space="0" w:color="auto"/>
        <w:bottom w:val="none" w:sz="0" w:space="0" w:color="auto"/>
        <w:right w:val="none" w:sz="0" w:space="0" w:color="auto"/>
      </w:divBdr>
    </w:div>
    <w:div w:id="1850175925">
      <w:bodyDiv w:val="1"/>
      <w:marLeft w:val="0"/>
      <w:marRight w:val="0"/>
      <w:marTop w:val="0"/>
      <w:marBottom w:val="0"/>
      <w:divBdr>
        <w:top w:val="none" w:sz="0" w:space="0" w:color="auto"/>
        <w:left w:val="none" w:sz="0" w:space="0" w:color="auto"/>
        <w:bottom w:val="none" w:sz="0" w:space="0" w:color="auto"/>
        <w:right w:val="none" w:sz="0" w:space="0" w:color="auto"/>
      </w:divBdr>
      <w:divsChild>
        <w:div w:id="888961225">
          <w:marLeft w:val="0"/>
          <w:marRight w:val="0"/>
          <w:marTop w:val="0"/>
          <w:marBottom w:val="0"/>
          <w:divBdr>
            <w:top w:val="none" w:sz="0" w:space="0" w:color="auto"/>
            <w:left w:val="none" w:sz="0" w:space="0" w:color="auto"/>
            <w:bottom w:val="none" w:sz="0" w:space="0" w:color="auto"/>
            <w:right w:val="none" w:sz="0" w:space="0" w:color="auto"/>
          </w:divBdr>
        </w:div>
      </w:divsChild>
    </w:div>
    <w:div w:id="1931699813">
      <w:bodyDiv w:val="1"/>
      <w:marLeft w:val="0"/>
      <w:marRight w:val="0"/>
      <w:marTop w:val="0"/>
      <w:marBottom w:val="0"/>
      <w:divBdr>
        <w:top w:val="none" w:sz="0" w:space="0" w:color="auto"/>
        <w:left w:val="none" w:sz="0" w:space="0" w:color="auto"/>
        <w:bottom w:val="none" w:sz="0" w:space="0" w:color="auto"/>
        <w:right w:val="none" w:sz="0" w:space="0" w:color="auto"/>
      </w:divBdr>
    </w:div>
    <w:div w:id="1977759857">
      <w:bodyDiv w:val="1"/>
      <w:marLeft w:val="0"/>
      <w:marRight w:val="0"/>
      <w:marTop w:val="0"/>
      <w:marBottom w:val="0"/>
      <w:divBdr>
        <w:top w:val="none" w:sz="0" w:space="0" w:color="auto"/>
        <w:left w:val="none" w:sz="0" w:space="0" w:color="auto"/>
        <w:bottom w:val="none" w:sz="0" w:space="0" w:color="auto"/>
        <w:right w:val="none" w:sz="0" w:space="0" w:color="auto"/>
      </w:divBdr>
    </w:div>
    <w:div w:id="2019387609">
      <w:bodyDiv w:val="1"/>
      <w:marLeft w:val="0"/>
      <w:marRight w:val="0"/>
      <w:marTop w:val="0"/>
      <w:marBottom w:val="0"/>
      <w:divBdr>
        <w:top w:val="none" w:sz="0" w:space="0" w:color="auto"/>
        <w:left w:val="none" w:sz="0" w:space="0" w:color="auto"/>
        <w:bottom w:val="none" w:sz="0" w:space="0" w:color="auto"/>
        <w:right w:val="none" w:sz="0" w:space="0" w:color="auto"/>
      </w:divBdr>
    </w:div>
    <w:div w:id="2039160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althsafetywellbeing@acu.edu.au" TargetMode="Externa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file.acu.edu.au\msm\Personnel-Share\WHS%20&amp;%20Wellbeing\WHS%20Reports\Claims%20and%20Injury%20Data\Master%20Data\LTIFR%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ile.acu.edu.au\msm\Personnel-Share\WHS%20&amp;%20Wellbeing\WHS%20Reports\Claims%20and%20Injury%20Data\Master%20Data\LTIFR%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AU" baseline="0"/>
              <a:t>LTIFR 12 Month Rolling </a:t>
            </a:r>
            <a:endParaRPr lang="en-AU"/>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manualLayout>
          <c:layoutTarget val="inner"/>
          <c:xMode val="edge"/>
          <c:yMode val="edge"/>
          <c:x val="0.14374818317840274"/>
          <c:y val="9.0654271136092021E-2"/>
          <c:w val="0.84027007878871007"/>
          <c:h val="0.52482986917309582"/>
        </c:manualLayout>
      </c:layout>
      <c:lineChart>
        <c:grouping val="standard"/>
        <c:varyColors val="0"/>
        <c:ser>
          <c:idx val="7"/>
          <c:order val="0"/>
          <c:tx>
            <c:strRef>
              <c:f>Graphs!$C$26</c:f>
              <c:strCache>
                <c:ptCount val="1"/>
                <c:pt idx="0">
                  <c:v>ACU OVERALL</c:v>
                </c:pt>
              </c:strCache>
            </c:strRef>
          </c:tx>
          <c:spPr>
            <a:ln w="34925" cap="rnd">
              <a:solidFill>
                <a:srgbClr val="7030A0"/>
              </a:solidFill>
              <a:round/>
            </a:ln>
            <a:effectLst>
              <a:outerShdw blurRad="57150" dist="19050" dir="5400000" algn="ctr" rotWithShape="0">
                <a:srgbClr val="000000">
                  <a:alpha val="63000"/>
                </a:srgbClr>
              </a:outerShdw>
            </a:effectLst>
          </c:spPr>
          <c:marker>
            <c:symbol val="circle"/>
            <c:size val="6"/>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w="9525">
                <a:solidFill>
                  <a:schemeClr val="accent2">
                    <a:lumMod val="60000"/>
                  </a:schemeClr>
                </a:solidFill>
                <a:round/>
              </a:ln>
              <a:effectLst>
                <a:outerShdw blurRad="57150" dist="19050" dir="5400000" algn="ctr" rotWithShape="0">
                  <a:srgbClr val="000000">
                    <a:alpha val="63000"/>
                  </a:srgbClr>
                </a:outerShdw>
              </a:effectLst>
            </c:spPr>
          </c:marker>
          <c:cat>
            <c:numRef>
              <c:f>Graphs!$B$33:$B$35</c:f>
              <c:numCache>
                <c:formatCode>mmm\-yy</c:formatCode>
                <c:ptCount val="3"/>
                <c:pt idx="0">
                  <c:v>45108</c:v>
                </c:pt>
                <c:pt idx="1">
                  <c:v>45139</c:v>
                </c:pt>
                <c:pt idx="2">
                  <c:v>45170</c:v>
                </c:pt>
              </c:numCache>
              <c:extLst/>
            </c:numRef>
          </c:cat>
          <c:val>
            <c:numRef>
              <c:f>Graphs!$C$33:$C$35</c:f>
              <c:numCache>
                <c:formatCode>0.00</c:formatCode>
                <c:ptCount val="3"/>
                <c:pt idx="0">
                  <c:v>2.0599190246419958</c:v>
                </c:pt>
                <c:pt idx="1">
                  <c:v>2.364816617812314</c:v>
                </c:pt>
                <c:pt idx="2">
                  <c:v>3.2583051454516521</c:v>
                </c:pt>
              </c:numCache>
              <c:extLst/>
            </c:numRef>
          </c:val>
          <c:smooth val="0"/>
          <c:extLst>
            <c:ext xmlns:c16="http://schemas.microsoft.com/office/drawing/2014/chart" uri="{C3380CC4-5D6E-409C-BE32-E72D297353CC}">
              <c16:uniqueId val="{00000000-B2AF-4672-94C2-124D0ED9A41A}"/>
            </c:ext>
          </c:extLst>
        </c:ser>
        <c:ser>
          <c:idx val="8"/>
          <c:order val="1"/>
          <c:tx>
            <c:strRef>
              <c:f>Graphs!$D$26</c:f>
              <c:strCache>
                <c:ptCount val="1"/>
                <c:pt idx="0">
                  <c:v>COO</c:v>
                </c:pt>
              </c:strCache>
            </c:strRef>
          </c:tx>
          <c:spPr>
            <a:ln w="34925" cap="rnd">
              <a:solidFill>
                <a:schemeClr val="accent3">
                  <a:lumMod val="60000"/>
                </a:schemeClr>
              </a:solidFill>
              <a:round/>
            </a:ln>
            <a:effectLst>
              <a:outerShdw blurRad="57150" dist="19050" dir="5400000" algn="ctr" rotWithShape="0">
                <a:srgbClr val="000000">
                  <a:alpha val="63000"/>
                </a:srgbClr>
              </a:outerShdw>
            </a:effectLst>
          </c:spPr>
          <c:marker>
            <c:symbol val="circle"/>
            <c:size val="6"/>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w="9525">
                <a:solidFill>
                  <a:schemeClr val="accent3">
                    <a:lumMod val="60000"/>
                  </a:schemeClr>
                </a:solidFill>
                <a:round/>
              </a:ln>
              <a:effectLst>
                <a:outerShdw blurRad="57150" dist="19050" dir="5400000" algn="ctr" rotWithShape="0">
                  <a:srgbClr val="000000">
                    <a:alpha val="63000"/>
                  </a:srgbClr>
                </a:outerShdw>
              </a:effectLst>
            </c:spPr>
          </c:marker>
          <c:cat>
            <c:numRef>
              <c:f>Graphs!$B$33:$B$35</c:f>
              <c:numCache>
                <c:formatCode>mmm\-yy</c:formatCode>
                <c:ptCount val="3"/>
                <c:pt idx="0">
                  <c:v>45108</c:v>
                </c:pt>
                <c:pt idx="1">
                  <c:v>45139</c:v>
                </c:pt>
                <c:pt idx="2">
                  <c:v>45170</c:v>
                </c:pt>
              </c:numCache>
              <c:extLst/>
            </c:numRef>
          </c:cat>
          <c:val>
            <c:numRef>
              <c:f>Graphs!$D$33:$D$35</c:f>
              <c:numCache>
                <c:formatCode>0.00</c:formatCode>
                <c:ptCount val="3"/>
                <c:pt idx="0">
                  <c:v>2.6002269504084579</c:v>
                </c:pt>
                <c:pt idx="1">
                  <c:v>2.6112461016543742</c:v>
                </c:pt>
                <c:pt idx="2">
                  <c:v>2.6206885382168847</c:v>
                </c:pt>
              </c:numCache>
              <c:extLst/>
            </c:numRef>
          </c:val>
          <c:smooth val="0"/>
          <c:extLst>
            <c:ext xmlns:c16="http://schemas.microsoft.com/office/drawing/2014/chart" uri="{C3380CC4-5D6E-409C-BE32-E72D297353CC}">
              <c16:uniqueId val="{00000001-B2AF-4672-94C2-124D0ED9A41A}"/>
            </c:ext>
          </c:extLst>
        </c:ser>
        <c:ser>
          <c:idx val="9"/>
          <c:order val="2"/>
          <c:tx>
            <c:strRef>
              <c:f>Graphs!$E$26</c:f>
              <c:strCache>
                <c:ptCount val="1"/>
                <c:pt idx="0">
                  <c:v>DVC Ethics</c:v>
                </c:pt>
              </c:strCache>
            </c:strRef>
          </c:tx>
          <c:spPr>
            <a:ln w="34925" cap="rnd">
              <a:solidFill>
                <a:schemeClr val="accent4">
                  <a:lumMod val="60000"/>
                </a:schemeClr>
              </a:solidFill>
              <a:round/>
            </a:ln>
            <a:effectLst>
              <a:outerShdw blurRad="57150" dist="19050" dir="5400000" algn="ctr" rotWithShape="0">
                <a:srgbClr val="000000">
                  <a:alpha val="63000"/>
                </a:srgbClr>
              </a:outerShdw>
            </a:effectLst>
          </c:spPr>
          <c:marker>
            <c:symbol val="circle"/>
            <c:size val="6"/>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w="9525">
                <a:solidFill>
                  <a:schemeClr val="accent4">
                    <a:lumMod val="60000"/>
                  </a:schemeClr>
                </a:solidFill>
                <a:round/>
              </a:ln>
              <a:effectLst>
                <a:outerShdw blurRad="57150" dist="19050" dir="5400000" algn="ctr" rotWithShape="0">
                  <a:srgbClr val="000000">
                    <a:alpha val="63000"/>
                  </a:srgbClr>
                </a:outerShdw>
              </a:effectLst>
            </c:spPr>
          </c:marker>
          <c:cat>
            <c:numRef>
              <c:f>Graphs!$B$33:$B$35</c:f>
              <c:numCache>
                <c:formatCode>mmm\-yy</c:formatCode>
                <c:ptCount val="3"/>
                <c:pt idx="0">
                  <c:v>45108</c:v>
                </c:pt>
                <c:pt idx="1">
                  <c:v>45139</c:v>
                </c:pt>
                <c:pt idx="2">
                  <c:v>45170</c:v>
                </c:pt>
              </c:numCache>
              <c:extLst/>
            </c:numRef>
          </c:cat>
          <c:val>
            <c:numRef>
              <c:f>Graphs!$E$33:$E$35</c:f>
              <c:numCache>
                <c:formatCode>0.00</c:formatCode>
                <c:ptCount val="3"/>
                <c:pt idx="0">
                  <c:v>0</c:v>
                </c:pt>
                <c:pt idx="1">
                  <c:v>0</c:v>
                </c:pt>
                <c:pt idx="2">
                  <c:v>0</c:v>
                </c:pt>
              </c:numCache>
              <c:extLst/>
            </c:numRef>
          </c:val>
          <c:smooth val="0"/>
          <c:extLst>
            <c:ext xmlns:c16="http://schemas.microsoft.com/office/drawing/2014/chart" uri="{C3380CC4-5D6E-409C-BE32-E72D297353CC}">
              <c16:uniqueId val="{00000002-B2AF-4672-94C2-124D0ED9A41A}"/>
            </c:ext>
          </c:extLst>
        </c:ser>
        <c:ser>
          <c:idx val="10"/>
          <c:order val="3"/>
          <c:tx>
            <c:strRef>
              <c:f>Graphs!$F$26</c:f>
              <c:strCache>
                <c:ptCount val="1"/>
                <c:pt idx="0">
                  <c:v>DVCRE</c:v>
                </c:pt>
              </c:strCache>
            </c:strRef>
          </c:tx>
          <c:spPr>
            <a:ln w="34925" cap="rnd">
              <a:solidFill>
                <a:schemeClr val="accent5">
                  <a:lumMod val="60000"/>
                </a:schemeClr>
              </a:solidFill>
              <a:round/>
            </a:ln>
            <a:effectLst>
              <a:outerShdw blurRad="57150" dist="19050" dir="5400000" algn="ctr" rotWithShape="0">
                <a:srgbClr val="000000">
                  <a:alpha val="63000"/>
                </a:srgbClr>
              </a:outerShdw>
            </a:effectLst>
          </c:spPr>
          <c:marker>
            <c:symbol val="circle"/>
            <c:size val="6"/>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w="9525">
                <a:solidFill>
                  <a:schemeClr val="accent5">
                    <a:lumMod val="60000"/>
                  </a:schemeClr>
                </a:solidFill>
                <a:round/>
              </a:ln>
              <a:effectLst>
                <a:outerShdw blurRad="57150" dist="19050" dir="5400000" algn="ctr" rotWithShape="0">
                  <a:srgbClr val="000000">
                    <a:alpha val="63000"/>
                  </a:srgbClr>
                </a:outerShdw>
              </a:effectLst>
            </c:spPr>
          </c:marker>
          <c:cat>
            <c:numRef>
              <c:f>Graphs!$B$33:$B$35</c:f>
              <c:numCache>
                <c:formatCode>mmm\-yy</c:formatCode>
                <c:ptCount val="3"/>
                <c:pt idx="0">
                  <c:v>45108</c:v>
                </c:pt>
                <c:pt idx="1">
                  <c:v>45139</c:v>
                </c:pt>
                <c:pt idx="2">
                  <c:v>45170</c:v>
                </c:pt>
              </c:numCache>
              <c:extLst/>
            </c:numRef>
          </c:cat>
          <c:val>
            <c:numRef>
              <c:f>Graphs!$F$33:$F$35</c:f>
              <c:numCache>
                <c:formatCode>0.00</c:formatCode>
                <c:ptCount val="3"/>
                <c:pt idx="0">
                  <c:v>15.396849958466994</c:v>
                </c:pt>
                <c:pt idx="1">
                  <c:v>15.594332769962067</c:v>
                </c:pt>
                <c:pt idx="2">
                  <c:v>15.908772733636233</c:v>
                </c:pt>
              </c:numCache>
              <c:extLst/>
            </c:numRef>
          </c:val>
          <c:smooth val="0"/>
          <c:extLst>
            <c:ext xmlns:c16="http://schemas.microsoft.com/office/drawing/2014/chart" uri="{C3380CC4-5D6E-409C-BE32-E72D297353CC}">
              <c16:uniqueId val="{00000003-B2AF-4672-94C2-124D0ED9A41A}"/>
            </c:ext>
          </c:extLst>
        </c:ser>
        <c:ser>
          <c:idx val="11"/>
          <c:order val="4"/>
          <c:tx>
            <c:strRef>
              <c:f>Graphs!$G$26</c:f>
              <c:strCache>
                <c:ptCount val="1"/>
                <c:pt idx="0">
                  <c:v>Provost</c:v>
                </c:pt>
              </c:strCache>
            </c:strRef>
          </c:tx>
          <c:spPr>
            <a:ln w="34925" cap="rnd">
              <a:solidFill>
                <a:schemeClr val="accent6">
                  <a:lumMod val="60000"/>
                </a:schemeClr>
              </a:solidFill>
              <a:round/>
            </a:ln>
            <a:effectLst>
              <a:outerShdw blurRad="57150" dist="19050" dir="5400000" algn="ctr" rotWithShape="0">
                <a:srgbClr val="000000">
                  <a:alpha val="63000"/>
                </a:srgbClr>
              </a:outerShdw>
            </a:effectLst>
          </c:spPr>
          <c:marker>
            <c:symbol val="circle"/>
            <c:size val="6"/>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w="9525">
                <a:solidFill>
                  <a:schemeClr val="accent6">
                    <a:lumMod val="60000"/>
                  </a:schemeClr>
                </a:solidFill>
                <a:round/>
              </a:ln>
              <a:effectLst>
                <a:outerShdw blurRad="57150" dist="19050" dir="5400000" algn="ctr" rotWithShape="0">
                  <a:srgbClr val="000000">
                    <a:alpha val="63000"/>
                  </a:srgbClr>
                </a:outerShdw>
              </a:effectLst>
            </c:spPr>
          </c:marker>
          <c:cat>
            <c:numRef>
              <c:f>Graphs!$B$33:$B$35</c:f>
              <c:numCache>
                <c:formatCode>mmm\-yy</c:formatCode>
                <c:ptCount val="3"/>
                <c:pt idx="0">
                  <c:v>45108</c:v>
                </c:pt>
                <c:pt idx="1">
                  <c:v>45139</c:v>
                </c:pt>
                <c:pt idx="2">
                  <c:v>45170</c:v>
                </c:pt>
              </c:numCache>
              <c:extLst/>
            </c:numRef>
          </c:cat>
          <c:val>
            <c:numRef>
              <c:f>Graphs!$G$33:$G$35</c:f>
              <c:numCache>
                <c:formatCode>0.00</c:formatCode>
                <c:ptCount val="3"/>
                <c:pt idx="0">
                  <c:v>0.43600366729660622</c:v>
                </c:pt>
                <c:pt idx="1">
                  <c:v>1.3133627479891541</c:v>
                </c:pt>
                <c:pt idx="2">
                  <c:v>2.6282270990324226</c:v>
                </c:pt>
              </c:numCache>
              <c:extLst/>
            </c:numRef>
          </c:val>
          <c:smooth val="0"/>
          <c:extLst>
            <c:ext xmlns:c16="http://schemas.microsoft.com/office/drawing/2014/chart" uri="{C3380CC4-5D6E-409C-BE32-E72D297353CC}">
              <c16:uniqueId val="{00000004-B2AF-4672-94C2-124D0ED9A41A}"/>
            </c:ext>
          </c:extLst>
        </c:ser>
        <c:ser>
          <c:idx val="12"/>
          <c:order val="5"/>
          <c:tx>
            <c:strRef>
              <c:f>Graphs!$H$26</c:f>
              <c:strCache>
                <c:ptCount val="1"/>
                <c:pt idx="0">
                  <c:v>VP</c:v>
                </c:pt>
              </c:strCache>
            </c:strRef>
          </c:tx>
          <c:spPr>
            <a:ln w="34925" cap="rnd">
              <a:solidFill>
                <a:schemeClr val="accent1">
                  <a:lumMod val="80000"/>
                  <a:lumOff val="20000"/>
                </a:schemeClr>
              </a:solidFill>
              <a:round/>
            </a:ln>
            <a:effectLst>
              <a:outerShdw blurRad="57150" dist="19050" dir="5400000" algn="ctr" rotWithShape="0">
                <a:srgbClr val="000000">
                  <a:alpha val="63000"/>
                </a:srgbClr>
              </a:outerShdw>
            </a:effectLst>
          </c:spPr>
          <c:marker>
            <c:symbol val="circle"/>
            <c:size val="6"/>
            <c:spPr>
              <a:gradFill rotWithShape="1">
                <a:gsLst>
                  <a:gs pos="0">
                    <a:schemeClr val="accent1">
                      <a:lumMod val="80000"/>
                      <a:lumOff val="20000"/>
                      <a:satMod val="103000"/>
                      <a:lumMod val="102000"/>
                      <a:tint val="94000"/>
                    </a:schemeClr>
                  </a:gs>
                  <a:gs pos="50000">
                    <a:schemeClr val="accent1">
                      <a:lumMod val="80000"/>
                      <a:lumOff val="20000"/>
                      <a:satMod val="110000"/>
                      <a:lumMod val="100000"/>
                      <a:shade val="100000"/>
                    </a:schemeClr>
                  </a:gs>
                  <a:gs pos="100000">
                    <a:schemeClr val="accent1">
                      <a:lumMod val="80000"/>
                      <a:lumOff val="20000"/>
                      <a:lumMod val="99000"/>
                      <a:satMod val="120000"/>
                      <a:shade val="78000"/>
                    </a:schemeClr>
                  </a:gs>
                </a:gsLst>
                <a:lin ang="5400000" scaled="0"/>
              </a:gradFill>
              <a:ln w="9525">
                <a:solidFill>
                  <a:schemeClr val="accent1">
                    <a:lumMod val="80000"/>
                    <a:lumOff val="20000"/>
                  </a:schemeClr>
                </a:solidFill>
                <a:round/>
              </a:ln>
              <a:effectLst>
                <a:outerShdw blurRad="57150" dist="19050" dir="5400000" algn="ctr" rotWithShape="0">
                  <a:srgbClr val="000000">
                    <a:alpha val="63000"/>
                  </a:srgbClr>
                </a:outerShdw>
              </a:effectLst>
            </c:spPr>
          </c:marker>
          <c:cat>
            <c:numRef>
              <c:f>Graphs!$B$33:$B$35</c:f>
              <c:numCache>
                <c:formatCode>mmm\-yy</c:formatCode>
                <c:ptCount val="3"/>
                <c:pt idx="0">
                  <c:v>45108</c:v>
                </c:pt>
                <c:pt idx="1">
                  <c:v>45139</c:v>
                </c:pt>
                <c:pt idx="2">
                  <c:v>45170</c:v>
                </c:pt>
              </c:numCache>
              <c:extLst/>
            </c:numRef>
          </c:cat>
          <c:val>
            <c:numRef>
              <c:f>Graphs!$H$33:$H$35</c:f>
              <c:numCache>
                <c:formatCode>0.00</c:formatCode>
                <c:ptCount val="3"/>
                <c:pt idx="0">
                  <c:v>0</c:v>
                </c:pt>
                <c:pt idx="1">
                  <c:v>0</c:v>
                </c:pt>
                <c:pt idx="2">
                  <c:v>0</c:v>
                </c:pt>
              </c:numCache>
              <c:extLst/>
            </c:numRef>
          </c:val>
          <c:smooth val="0"/>
          <c:extLst>
            <c:ext xmlns:c16="http://schemas.microsoft.com/office/drawing/2014/chart" uri="{C3380CC4-5D6E-409C-BE32-E72D297353CC}">
              <c16:uniqueId val="{00000005-B2AF-4672-94C2-124D0ED9A41A}"/>
            </c:ext>
          </c:extLst>
        </c:ser>
        <c:ser>
          <c:idx val="13"/>
          <c:order val="6"/>
          <c:tx>
            <c:strRef>
              <c:f>Graphs!$I$26</c:f>
              <c:strCache>
                <c:ptCount val="1"/>
                <c:pt idx="0">
                  <c:v>VC+P</c:v>
                </c:pt>
              </c:strCache>
            </c:strRef>
          </c:tx>
          <c:spPr>
            <a:ln w="34925" cap="rnd">
              <a:solidFill>
                <a:srgbClr val="FF0000"/>
              </a:solidFill>
              <a:round/>
            </a:ln>
            <a:effectLst>
              <a:outerShdw blurRad="57150" dist="19050" dir="5400000" algn="ctr" rotWithShape="0">
                <a:srgbClr val="000000">
                  <a:alpha val="63000"/>
                </a:srgbClr>
              </a:outerShdw>
            </a:effectLst>
          </c:spPr>
          <c:marker>
            <c:symbol val="circle"/>
            <c:size val="6"/>
            <c:spPr>
              <a:gradFill rotWithShape="1">
                <a:gsLst>
                  <a:gs pos="0">
                    <a:schemeClr val="accent2">
                      <a:lumMod val="80000"/>
                      <a:lumOff val="20000"/>
                      <a:satMod val="103000"/>
                      <a:lumMod val="102000"/>
                      <a:tint val="94000"/>
                    </a:schemeClr>
                  </a:gs>
                  <a:gs pos="50000">
                    <a:schemeClr val="accent2">
                      <a:lumMod val="80000"/>
                      <a:lumOff val="20000"/>
                      <a:satMod val="110000"/>
                      <a:lumMod val="100000"/>
                      <a:shade val="100000"/>
                    </a:schemeClr>
                  </a:gs>
                  <a:gs pos="100000">
                    <a:schemeClr val="accent2">
                      <a:lumMod val="80000"/>
                      <a:lumOff val="20000"/>
                      <a:lumMod val="99000"/>
                      <a:satMod val="120000"/>
                      <a:shade val="78000"/>
                    </a:schemeClr>
                  </a:gs>
                </a:gsLst>
                <a:lin ang="5400000" scaled="0"/>
              </a:gradFill>
              <a:ln w="9525">
                <a:solidFill>
                  <a:schemeClr val="accent2">
                    <a:lumMod val="80000"/>
                    <a:lumOff val="20000"/>
                  </a:schemeClr>
                </a:solidFill>
                <a:round/>
              </a:ln>
              <a:effectLst>
                <a:outerShdw blurRad="57150" dist="19050" dir="5400000" algn="ctr" rotWithShape="0">
                  <a:srgbClr val="000000">
                    <a:alpha val="63000"/>
                  </a:srgbClr>
                </a:outerShdw>
              </a:effectLst>
            </c:spPr>
          </c:marker>
          <c:cat>
            <c:numRef>
              <c:f>Graphs!$B$33:$B$35</c:f>
              <c:numCache>
                <c:formatCode>mmm\-yy</c:formatCode>
                <c:ptCount val="3"/>
                <c:pt idx="0">
                  <c:v>45108</c:v>
                </c:pt>
                <c:pt idx="1">
                  <c:v>45139</c:v>
                </c:pt>
                <c:pt idx="2">
                  <c:v>45170</c:v>
                </c:pt>
              </c:numCache>
              <c:extLst/>
            </c:numRef>
          </c:cat>
          <c:val>
            <c:numRef>
              <c:f>Graphs!$I$33:$I$35</c:f>
              <c:numCache>
                <c:formatCode>0.00</c:formatCode>
                <c:ptCount val="3"/>
                <c:pt idx="0">
                  <c:v>20.291544858213843</c:v>
                </c:pt>
                <c:pt idx="1">
                  <c:v>20.000936043806849</c:v>
                </c:pt>
                <c:pt idx="2">
                  <c:v>20.062856930764084</c:v>
                </c:pt>
              </c:numCache>
              <c:extLst/>
            </c:numRef>
          </c:val>
          <c:smooth val="0"/>
          <c:extLst>
            <c:ext xmlns:c16="http://schemas.microsoft.com/office/drawing/2014/chart" uri="{C3380CC4-5D6E-409C-BE32-E72D297353CC}">
              <c16:uniqueId val="{00000006-B2AF-4672-94C2-124D0ED9A41A}"/>
            </c:ext>
          </c:extLst>
        </c:ser>
        <c:dLbls>
          <c:showLegendKey val="0"/>
          <c:showVal val="0"/>
          <c:showCatName val="0"/>
          <c:showSerName val="0"/>
          <c:showPercent val="0"/>
          <c:showBubbleSize val="0"/>
        </c:dLbls>
        <c:marker val="1"/>
        <c:smooth val="0"/>
        <c:axId val="1755472960"/>
        <c:axId val="1755473440"/>
        <c:extLst>
          <c:ext xmlns:c15="http://schemas.microsoft.com/office/drawing/2012/chart" uri="{02D57815-91ED-43cb-92C2-25804820EDAC}">
            <c15:filteredLineSeries>
              <c15:ser>
                <c:idx val="0"/>
                <c:order val="7"/>
                <c:tx>
                  <c:strRef>
                    <c:extLst>
                      <c:ext uri="{02D57815-91ED-43cb-92C2-25804820EDAC}">
                        <c15:formulaRef>
                          <c15:sqref>Graphs!$C$54</c15:sqref>
                        </c15:formulaRef>
                      </c:ext>
                    </c:extLst>
                    <c:strCache>
                      <c:ptCount val="1"/>
                      <c:pt idx="0">
                        <c:v>ACU OVERALL</c:v>
                      </c:pt>
                    </c:strCache>
                  </c:strRef>
                </c:tx>
                <c:spPr>
                  <a:ln w="34925" cap="rnd">
                    <a:solidFill>
                      <a:srgbClr val="7030A0"/>
                    </a:solidFill>
                    <a:round/>
                  </a:ln>
                  <a:effectLst>
                    <a:outerShdw blurRad="57150" dist="19050" dir="5400000" algn="ctr" rotWithShape="0">
                      <a:srgbClr val="000000">
                        <a:alpha val="63000"/>
                      </a:srgbClr>
                    </a:outerShdw>
                  </a:effectLst>
                </c:spPr>
                <c:marker>
                  <c:symbol val="square"/>
                  <c:size val="5"/>
                  <c:spPr>
                    <a:solidFill>
                      <a:srgbClr val="FFFF00"/>
                    </a:solidFill>
                    <a:ln w="9525">
                      <a:noFill/>
                      <a:round/>
                    </a:ln>
                    <a:effectLst>
                      <a:outerShdw blurRad="57150" dist="19050" dir="5400000" algn="ctr" rotWithShape="0">
                        <a:srgbClr val="000000">
                          <a:alpha val="63000"/>
                        </a:srgbClr>
                      </a:outerShdw>
                    </a:effectLst>
                  </c:spPr>
                </c:marker>
                <c:cat>
                  <c:numRef>
                    <c:extLst>
                      <c:ext uri="{02D57815-91ED-43cb-92C2-25804820EDAC}">
                        <c15:formulaRef>
                          <c15:sqref>Graphs!$B$61:$B$63</c15:sqref>
                        </c15:formulaRef>
                      </c:ext>
                    </c:extLst>
                    <c:numCache>
                      <c:formatCode>mmm\-yy</c:formatCode>
                      <c:ptCount val="3"/>
                      <c:pt idx="0">
                        <c:v>45108</c:v>
                      </c:pt>
                      <c:pt idx="1">
                        <c:v>45139</c:v>
                      </c:pt>
                      <c:pt idx="2">
                        <c:v>45170</c:v>
                      </c:pt>
                    </c:numCache>
                  </c:numRef>
                </c:cat>
                <c:val>
                  <c:numRef>
                    <c:extLst>
                      <c:ext uri="{02D57815-91ED-43cb-92C2-25804820EDAC}">
                        <c15:formulaRef>
                          <c15:sqref>Graphs!$C$61:$C$63</c15:sqref>
                        </c15:formulaRef>
                      </c:ext>
                    </c:extLst>
                    <c:numCache>
                      <c:formatCode>0.00</c:formatCode>
                      <c:ptCount val="3"/>
                      <c:pt idx="0">
                        <c:v>6.4740312203034156</c:v>
                      </c:pt>
                      <c:pt idx="1">
                        <c:v>6.5032456989838634</c:v>
                      </c:pt>
                      <c:pt idx="2">
                        <c:v>7.1090294082581496</c:v>
                      </c:pt>
                    </c:numCache>
                  </c:numRef>
                </c:val>
                <c:smooth val="0"/>
                <c:extLst>
                  <c:ext xmlns:c16="http://schemas.microsoft.com/office/drawing/2014/chart" uri="{C3380CC4-5D6E-409C-BE32-E72D297353CC}">
                    <c16:uniqueId val="{00000007-B2AF-4672-94C2-124D0ED9A41A}"/>
                  </c:ext>
                </c:extLst>
              </c15:ser>
            </c15:filteredLineSeries>
            <c15:filteredLineSeries>
              <c15:ser>
                <c:idx val="1"/>
                <c:order val="8"/>
                <c:tx>
                  <c:strRef>
                    <c:extLst xmlns:c15="http://schemas.microsoft.com/office/drawing/2012/chart">
                      <c:ext xmlns:c15="http://schemas.microsoft.com/office/drawing/2012/chart" uri="{02D57815-91ED-43cb-92C2-25804820EDAC}">
                        <c15:formulaRef>
                          <c15:sqref>Graphs!$D$54</c15:sqref>
                        </c15:formulaRef>
                      </c:ext>
                    </c:extLst>
                    <c:strCache>
                      <c:ptCount val="1"/>
                      <c:pt idx="0">
                        <c:v>COO</c:v>
                      </c:pt>
                    </c:strCache>
                  </c:strRef>
                </c:tx>
                <c:spPr>
                  <a:ln w="34925" cap="rnd">
                    <a:solidFill>
                      <a:schemeClr val="accent2"/>
                    </a:solidFill>
                    <a:round/>
                  </a:ln>
                  <a:effectLst>
                    <a:outerShdw blurRad="57150" dist="19050" dir="5400000" algn="ctr" rotWithShape="0">
                      <a:srgbClr val="000000">
                        <a:alpha val="63000"/>
                      </a:srgbClr>
                    </a:outerShdw>
                  </a:effectLst>
                </c:spPr>
                <c:marker>
                  <c:symbol val="square"/>
                  <c:size val="5"/>
                  <c:spPr>
                    <a:solidFill>
                      <a:srgbClr val="00B0F0"/>
                    </a:solidFill>
                    <a:ln w="9525">
                      <a:noFill/>
                      <a:round/>
                    </a:ln>
                    <a:effectLst>
                      <a:outerShdw blurRad="57150" dist="19050" dir="5400000" algn="ctr" rotWithShape="0">
                        <a:srgbClr val="000000">
                          <a:alpha val="63000"/>
                        </a:srgbClr>
                      </a:outerShdw>
                    </a:effectLst>
                  </c:spPr>
                </c:marker>
                <c:val>
                  <c:numRef>
                    <c:extLst xmlns:c15="http://schemas.microsoft.com/office/drawing/2012/chart">
                      <c:ext xmlns:c15="http://schemas.microsoft.com/office/drawing/2012/chart" uri="{02D57815-91ED-43cb-92C2-25804820EDAC}">
                        <c15:formulaRef>
                          <c15:sqref>Graphs!$D$61:$D$63</c15:sqref>
                        </c15:formulaRef>
                      </c:ext>
                    </c:extLst>
                    <c:numCache>
                      <c:formatCode>0.00</c:formatCode>
                      <c:ptCount val="3"/>
                      <c:pt idx="0">
                        <c:v>7.8006808512253736</c:v>
                      </c:pt>
                      <c:pt idx="1">
                        <c:v>6.528115254135936</c:v>
                      </c:pt>
                      <c:pt idx="2">
                        <c:v>5.2413770764337695</c:v>
                      </c:pt>
                    </c:numCache>
                  </c:numRef>
                </c:val>
                <c:smooth val="0"/>
                <c:extLst xmlns:c15="http://schemas.microsoft.com/office/drawing/2012/chart">
                  <c:ext xmlns:c16="http://schemas.microsoft.com/office/drawing/2014/chart" uri="{C3380CC4-5D6E-409C-BE32-E72D297353CC}">
                    <c16:uniqueId val="{00000008-B2AF-4672-94C2-124D0ED9A41A}"/>
                  </c:ext>
                </c:extLst>
              </c15:ser>
            </c15:filteredLineSeries>
            <c15:filteredLineSeries>
              <c15:ser>
                <c:idx val="2"/>
                <c:order val="9"/>
                <c:tx>
                  <c:strRef>
                    <c:extLst xmlns:c15="http://schemas.microsoft.com/office/drawing/2012/chart">
                      <c:ext xmlns:c15="http://schemas.microsoft.com/office/drawing/2012/chart" uri="{02D57815-91ED-43cb-92C2-25804820EDAC}">
                        <c15:formulaRef>
                          <c15:sqref>Graphs!$E$54</c15:sqref>
                        </c15:formulaRef>
                      </c:ext>
                    </c:extLst>
                    <c:strCache>
                      <c:ptCount val="1"/>
                      <c:pt idx="0">
                        <c:v>DVC Ethics</c:v>
                      </c:pt>
                    </c:strCache>
                  </c:strRef>
                </c:tx>
                <c:spPr>
                  <a:ln w="34925" cap="rnd">
                    <a:solidFill>
                      <a:schemeClr val="accent3"/>
                    </a:solidFill>
                    <a:round/>
                  </a:ln>
                  <a:effectLst>
                    <a:outerShdw blurRad="57150" dist="19050" dir="5400000" algn="ctr" rotWithShape="0">
                      <a:srgbClr val="000000">
                        <a:alpha val="63000"/>
                      </a:srgbClr>
                    </a:outerShdw>
                  </a:effectLst>
                </c:spPr>
                <c:marker>
                  <c:symbol val="square"/>
                  <c:size val="5"/>
                  <c:spPr>
                    <a:solidFill>
                      <a:srgbClr val="FF0000"/>
                    </a:solidFill>
                    <a:ln w="9525">
                      <a:noFill/>
                      <a:round/>
                    </a:ln>
                    <a:effectLst>
                      <a:outerShdw blurRad="57150" dist="19050" dir="5400000" algn="ctr" rotWithShape="0">
                        <a:srgbClr val="000000">
                          <a:alpha val="63000"/>
                        </a:srgbClr>
                      </a:outerShdw>
                    </a:effectLst>
                  </c:spPr>
                </c:marker>
                <c:val>
                  <c:numRef>
                    <c:extLst xmlns:c15="http://schemas.microsoft.com/office/drawing/2012/chart">
                      <c:ext xmlns:c15="http://schemas.microsoft.com/office/drawing/2012/chart" uri="{02D57815-91ED-43cb-92C2-25804820EDAC}">
                        <c15:formulaRef>
                          <c15:sqref>Graphs!$E$61:$E$63</c15:sqref>
                        </c15:formulaRef>
                      </c:ext>
                    </c:extLst>
                    <c:numCache>
                      <c:formatCode>0.00</c:formatCode>
                      <c:ptCount val="3"/>
                      <c:pt idx="0">
                        <c:v>0</c:v>
                      </c:pt>
                      <c:pt idx="1">
                        <c:v>0</c:v>
                      </c:pt>
                      <c:pt idx="2">
                        <c:v>0</c:v>
                      </c:pt>
                    </c:numCache>
                  </c:numRef>
                </c:val>
                <c:smooth val="0"/>
                <c:extLst xmlns:c15="http://schemas.microsoft.com/office/drawing/2012/chart">
                  <c:ext xmlns:c16="http://schemas.microsoft.com/office/drawing/2014/chart" uri="{C3380CC4-5D6E-409C-BE32-E72D297353CC}">
                    <c16:uniqueId val="{00000009-B2AF-4672-94C2-124D0ED9A41A}"/>
                  </c:ext>
                </c:extLst>
              </c15:ser>
            </c15:filteredLineSeries>
            <c15:filteredLineSeries>
              <c15:ser>
                <c:idx val="3"/>
                <c:order val="10"/>
                <c:tx>
                  <c:strRef>
                    <c:extLst xmlns:c15="http://schemas.microsoft.com/office/drawing/2012/chart">
                      <c:ext xmlns:c15="http://schemas.microsoft.com/office/drawing/2012/chart" uri="{02D57815-91ED-43cb-92C2-25804820EDAC}">
                        <c15:formulaRef>
                          <c15:sqref>Graphs!$F$54</c15:sqref>
                        </c15:formulaRef>
                      </c:ext>
                    </c:extLst>
                    <c:strCache>
                      <c:ptCount val="1"/>
                      <c:pt idx="0">
                        <c:v>DVCRE</c:v>
                      </c:pt>
                    </c:strCache>
                  </c:strRef>
                </c:tx>
                <c:spPr>
                  <a:ln w="34925" cap="rnd">
                    <a:solidFill>
                      <a:schemeClr val="accent4"/>
                    </a:solidFill>
                    <a:round/>
                  </a:ln>
                  <a:effectLst>
                    <a:outerShdw blurRad="57150" dist="19050" dir="5400000" algn="ctr" rotWithShape="0">
                      <a:srgbClr val="000000">
                        <a:alpha val="63000"/>
                      </a:srgbClr>
                    </a:outerShdw>
                  </a:effectLst>
                </c:spPr>
                <c:marker>
                  <c:symbol val="square"/>
                  <c:size val="5"/>
                  <c:spPr>
                    <a:solidFill>
                      <a:srgbClr val="92D050"/>
                    </a:solidFill>
                    <a:ln w="9525">
                      <a:noFill/>
                      <a:round/>
                    </a:ln>
                    <a:effectLst>
                      <a:outerShdw blurRad="57150" dist="19050" dir="5400000" algn="ctr" rotWithShape="0">
                        <a:srgbClr val="000000">
                          <a:alpha val="63000"/>
                        </a:srgbClr>
                      </a:outerShdw>
                    </a:effectLst>
                  </c:spPr>
                </c:marker>
                <c:val>
                  <c:numRef>
                    <c:extLst xmlns:c15="http://schemas.microsoft.com/office/drawing/2012/chart">
                      <c:ext xmlns:c15="http://schemas.microsoft.com/office/drawing/2012/chart" uri="{02D57815-91ED-43cb-92C2-25804820EDAC}">
                        <c15:formulaRef>
                          <c15:sqref>Graphs!$F$61:$F$63</c15:sqref>
                        </c15:formulaRef>
                      </c:ext>
                    </c:extLst>
                    <c:numCache>
                      <c:formatCode>0.00</c:formatCode>
                      <c:ptCount val="3"/>
                      <c:pt idx="0">
                        <c:v>15.396849958466994</c:v>
                      </c:pt>
                      <c:pt idx="1">
                        <c:v>15.594332769962067</c:v>
                      </c:pt>
                      <c:pt idx="2">
                        <c:v>15.908772733636233</c:v>
                      </c:pt>
                    </c:numCache>
                  </c:numRef>
                </c:val>
                <c:smooth val="0"/>
                <c:extLst xmlns:c15="http://schemas.microsoft.com/office/drawing/2012/chart">
                  <c:ext xmlns:c16="http://schemas.microsoft.com/office/drawing/2014/chart" uri="{C3380CC4-5D6E-409C-BE32-E72D297353CC}">
                    <c16:uniqueId val="{0000000A-B2AF-4672-94C2-124D0ED9A41A}"/>
                  </c:ext>
                </c:extLst>
              </c15:ser>
            </c15:filteredLineSeries>
            <c15:filteredLineSeries>
              <c15:ser>
                <c:idx val="4"/>
                <c:order val="11"/>
                <c:tx>
                  <c:strRef>
                    <c:extLst xmlns:c15="http://schemas.microsoft.com/office/drawing/2012/chart">
                      <c:ext xmlns:c15="http://schemas.microsoft.com/office/drawing/2012/chart" uri="{02D57815-91ED-43cb-92C2-25804820EDAC}">
                        <c15:formulaRef>
                          <c15:sqref>Graphs!$G$54</c15:sqref>
                        </c15:formulaRef>
                      </c:ext>
                    </c:extLst>
                    <c:strCache>
                      <c:ptCount val="1"/>
                      <c:pt idx="0">
                        <c:v>Provost</c:v>
                      </c:pt>
                    </c:strCache>
                  </c:strRef>
                </c:tx>
                <c:spPr>
                  <a:ln w="34925" cap="rnd">
                    <a:solidFill>
                      <a:schemeClr val="accent5"/>
                    </a:solidFill>
                    <a:round/>
                  </a:ln>
                  <a:effectLst>
                    <a:outerShdw blurRad="57150" dist="19050" dir="5400000" algn="ctr" rotWithShape="0">
                      <a:srgbClr val="000000">
                        <a:alpha val="63000"/>
                      </a:srgbClr>
                    </a:outerShdw>
                  </a:effectLst>
                </c:spPr>
                <c:marker>
                  <c:symbol val="square"/>
                  <c:size val="5"/>
                  <c:spPr>
                    <a:solidFill>
                      <a:srgbClr val="FFC000"/>
                    </a:solidFill>
                    <a:ln w="9525">
                      <a:noFill/>
                      <a:round/>
                    </a:ln>
                    <a:effectLst>
                      <a:outerShdw blurRad="57150" dist="19050" dir="5400000" algn="ctr" rotWithShape="0">
                        <a:srgbClr val="000000">
                          <a:alpha val="63000"/>
                        </a:srgbClr>
                      </a:outerShdw>
                    </a:effectLst>
                  </c:spPr>
                </c:marker>
                <c:val>
                  <c:numRef>
                    <c:extLst xmlns:c15="http://schemas.microsoft.com/office/drawing/2012/chart">
                      <c:ext xmlns:c15="http://schemas.microsoft.com/office/drawing/2012/chart" uri="{02D57815-91ED-43cb-92C2-25804820EDAC}">
                        <c15:formulaRef>
                          <c15:sqref>Graphs!$G$61:$G$63</c15:sqref>
                        </c15:formulaRef>
                      </c:ext>
                    </c:extLst>
                    <c:numCache>
                      <c:formatCode>0.00</c:formatCode>
                      <c:ptCount val="3"/>
                      <c:pt idx="0">
                        <c:v>4.7960403402626683</c:v>
                      </c:pt>
                      <c:pt idx="1">
                        <c:v>5.2534509919566164</c:v>
                      </c:pt>
                      <c:pt idx="2">
                        <c:v>6.5705677475810562</c:v>
                      </c:pt>
                    </c:numCache>
                  </c:numRef>
                </c:val>
                <c:smooth val="0"/>
                <c:extLst xmlns:c15="http://schemas.microsoft.com/office/drawing/2012/chart">
                  <c:ext xmlns:c16="http://schemas.microsoft.com/office/drawing/2014/chart" uri="{C3380CC4-5D6E-409C-BE32-E72D297353CC}">
                    <c16:uniqueId val="{0000000B-B2AF-4672-94C2-124D0ED9A41A}"/>
                  </c:ext>
                </c:extLst>
              </c15:ser>
            </c15:filteredLineSeries>
            <c15:filteredLineSeries>
              <c15:ser>
                <c:idx val="5"/>
                <c:order val="12"/>
                <c:tx>
                  <c:strRef>
                    <c:extLst xmlns:c15="http://schemas.microsoft.com/office/drawing/2012/chart">
                      <c:ext xmlns:c15="http://schemas.microsoft.com/office/drawing/2012/chart" uri="{02D57815-91ED-43cb-92C2-25804820EDAC}">
                        <c15:formulaRef>
                          <c15:sqref>Graphs!$H$54</c15:sqref>
                        </c15:formulaRef>
                      </c:ext>
                    </c:extLst>
                    <c:strCache>
                      <c:ptCount val="1"/>
                      <c:pt idx="0">
                        <c:v>VP</c:v>
                      </c:pt>
                    </c:strCache>
                  </c:strRef>
                </c:tx>
                <c:spPr>
                  <a:ln w="34925" cap="rnd">
                    <a:solidFill>
                      <a:schemeClr val="accent6"/>
                    </a:solidFill>
                    <a:round/>
                  </a:ln>
                  <a:effectLst>
                    <a:outerShdw blurRad="57150" dist="19050" dir="5400000" algn="ctr" rotWithShape="0">
                      <a:srgbClr val="000000">
                        <a:alpha val="63000"/>
                      </a:srgbClr>
                    </a:outerShdw>
                  </a:effectLst>
                </c:spPr>
                <c:marker>
                  <c:symbol val="square"/>
                  <c:size val="5"/>
                  <c:spPr>
                    <a:solidFill>
                      <a:srgbClr val="FF0000"/>
                    </a:solidFill>
                    <a:ln w="9525">
                      <a:noFill/>
                      <a:round/>
                    </a:ln>
                    <a:effectLst>
                      <a:outerShdw blurRad="57150" dist="19050" dir="5400000" algn="ctr" rotWithShape="0">
                        <a:srgbClr val="000000">
                          <a:alpha val="63000"/>
                        </a:srgbClr>
                      </a:outerShdw>
                    </a:effectLst>
                  </c:spPr>
                </c:marker>
                <c:val>
                  <c:numRef>
                    <c:extLst xmlns:c15="http://schemas.microsoft.com/office/drawing/2012/chart">
                      <c:ext xmlns:c15="http://schemas.microsoft.com/office/drawing/2012/chart" uri="{02D57815-91ED-43cb-92C2-25804820EDAC}">
                        <c15:formulaRef>
                          <c15:sqref>Graphs!$H$61:$H$63</c15:sqref>
                        </c15:formulaRef>
                      </c:ext>
                    </c:extLst>
                    <c:numCache>
                      <c:formatCode>0.00</c:formatCode>
                      <c:ptCount val="3"/>
                      <c:pt idx="0">
                        <c:v>0</c:v>
                      </c:pt>
                      <c:pt idx="1">
                        <c:v>0</c:v>
                      </c:pt>
                      <c:pt idx="2">
                        <c:v>0</c:v>
                      </c:pt>
                    </c:numCache>
                  </c:numRef>
                </c:val>
                <c:smooth val="0"/>
                <c:extLst xmlns:c15="http://schemas.microsoft.com/office/drawing/2012/chart">
                  <c:ext xmlns:c16="http://schemas.microsoft.com/office/drawing/2014/chart" uri="{C3380CC4-5D6E-409C-BE32-E72D297353CC}">
                    <c16:uniqueId val="{0000000C-B2AF-4672-94C2-124D0ED9A41A}"/>
                  </c:ext>
                </c:extLst>
              </c15:ser>
            </c15:filteredLineSeries>
            <c15:filteredLineSeries>
              <c15:ser>
                <c:idx val="6"/>
                <c:order val="13"/>
                <c:tx>
                  <c:strRef>
                    <c:extLst xmlns:c15="http://schemas.microsoft.com/office/drawing/2012/chart">
                      <c:ext xmlns:c15="http://schemas.microsoft.com/office/drawing/2012/chart" uri="{02D57815-91ED-43cb-92C2-25804820EDAC}">
                        <c15:formulaRef>
                          <c15:sqref>Graphs!$I$54</c15:sqref>
                        </c15:formulaRef>
                      </c:ext>
                    </c:extLst>
                    <c:strCache>
                      <c:ptCount val="1"/>
                      <c:pt idx="0">
                        <c:v>VC+P</c:v>
                      </c:pt>
                    </c:strCache>
                  </c:strRef>
                </c:tx>
                <c:spPr>
                  <a:ln w="34925" cap="rnd">
                    <a:solidFill>
                      <a:srgbClr val="FF0000"/>
                    </a:solidFill>
                    <a:round/>
                  </a:ln>
                  <a:effectLst>
                    <a:outerShdw blurRad="57150" dist="19050" dir="5400000" algn="ctr" rotWithShape="0">
                      <a:srgbClr val="000000">
                        <a:alpha val="63000"/>
                      </a:srgbClr>
                    </a:outerShdw>
                  </a:effectLst>
                </c:spPr>
                <c:marker>
                  <c:symbol val="square"/>
                  <c:size val="5"/>
                  <c:spPr>
                    <a:solidFill>
                      <a:schemeClr val="bg1"/>
                    </a:solidFill>
                    <a:ln w="9525">
                      <a:noFill/>
                      <a:round/>
                    </a:ln>
                    <a:effectLst>
                      <a:outerShdw blurRad="57150" dist="19050" dir="5400000" algn="ctr" rotWithShape="0">
                        <a:srgbClr val="000000">
                          <a:alpha val="63000"/>
                        </a:srgbClr>
                      </a:outerShdw>
                    </a:effectLst>
                  </c:spPr>
                </c:marker>
                <c:val>
                  <c:numRef>
                    <c:extLst xmlns:c15="http://schemas.microsoft.com/office/drawing/2012/chart">
                      <c:ext xmlns:c15="http://schemas.microsoft.com/office/drawing/2012/chart" uri="{02D57815-91ED-43cb-92C2-25804820EDAC}">
                        <c15:formulaRef>
                          <c15:sqref>Graphs!$I$61:$I$63</c15:sqref>
                        </c15:formulaRef>
                      </c:ext>
                    </c:extLst>
                    <c:numCache>
                      <c:formatCode>0.00</c:formatCode>
                      <c:ptCount val="3"/>
                      <c:pt idx="0">
                        <c:v>40.583089716427686</c:v>
                      </c:pt>
                      <c:pt idx="1">
                        <c:v>40.001872087613698</c:v>
                      </c:pt>
                      <c:pt idx="2">
                        <c:v>40.125713861528169</c:v>
                      </c:pt>
                    </c:numCache>
                  </c:numRef>
                </c:val>
                <c:smooth val="0"/>
                <c:extLst xmlns:c15="http://schemas.microsoft.com/office/drawing/2012/chart">
                  <c:ext xmlns:c16="http://schemas.microsoft.com/office/drawing/2014/chart" uri="{C3380CC4-5D6E-409C-BE32-E72D297353CC}">
                    <c16:uniqueId val="{0000000D-B2AF-4672-94C2-124D0ED9A41A}"/>
                  </c:ext>
                </c:extLst>
              </c15:ser>
            </c15:filteredLineSeries>
          </c:ext>
        </c:extLst>
      </c:lineChart>
      <c:dateAx>
        <c:axId val="1755472960"/>
        <c:scaling>
          <c:orientation val="minMax"/>
        </c:scaling>
        <c:delete val="0"/>
        <c:axPos val="b"/>
        <c:numFmt formatCode="mmm\-yy" sourceLinked="1"/>
        <c:majorTickMark val="out"/>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755473440"/>
        <c:crosses val="autoZero"/>
        <c:auto val="1"/>
        <c:lblOffset val="100"/>
        <c:baseTimeUnit val="months"/>
      </c:dateAx>
      <c:valAx>
        <c:axId val="1755473440"/>
        <c:scaling>
          <c:orientation val="minMax"/>
        </c:scaling>
        <c:delete val="0"/>
        <c:axPos val="l"/>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755472960"/>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lt1">
                    <a:lumMod val="85000"/>
                  </a:schemeClr>
                </a:solidFill>
                <a:latin typeface="+mn-lt"/>
                <a:ea typeface="+mn-ea"/>
                <a:cs typeface="+mn-cs"/>
              </a:defRPr>
            </a:pPr>
            <a:endParaRPr lang="en-US"/>
          </a:p>
        </c:txPr>
      </c:dTable>
      <c:spPr>
        <a:noFill/>
        <a:ln>
          <a:noFill/>
        </a:ln>
        <a:effectLst/>
      </c:spPr>
    </c:plotArea>
    <c:plotVisOnly val="1"/>
    <c:dispBlanksAs val="gap"/>
    <c:showDLblsOverMax val="0"/>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AU"/>
              <a:t>TRIFR</a:t>
            </a:r>
            <a:r>
              <a:rPr lang="en-AU" baseline="0"/>
              <a:t> 12 Month Rolling </a:t>
            </a:r>
            <a:endParaRPr lang="en-AU"/>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manualLayout>
          <c:layoutTarget val="inner"/>
          <c:xMode val="edge"/>
          <c:yMode val="edge"/>
          <c:x val="0.14374818317840274"/>
          <c:y val="9.0654271136092021E-2"/>
          <c:w val="0.84027007878871007"/>
          <c:h val="0.52482986917309582"/>
        </c:manualLayout>
      </c:layout>
      <c:lineChart>
        <c:grouping val="standard"/>
        <c:varyColors val="0"/>
        <c:ser>
          <c:idx val="0"/>
          <c:order val="0"/>
          <c:tx>
            <c:strRef>
              <c:f>Graphs!$C$54</c:f>
              <c:strCache>
                <c:ptCount val="1"/>
                <c:pt idx="0">
                  <c:v>ACU OVERALL</c:v>
                </c:pt>
              </c:strCache>
            </c:strRef>
          </c:tx>
          <c:spPr>
            <a:ln w="34925" cap="rnd">
              <a:solidFill>
                <a:srgbClr val="7030A0"/>
              </a:solidFill>
              <a:round/>
            </a:ln>
            <a:effectLst>
              <a:outerShdw blurRad="57150" dist="19050" dir="5400000" algn="ctr" rotWithShape="0">
                <a:srgbClr val="000000">
                  <a:alpha val="63000"/>
                </a:srgbClr>
              </a:outerShdw>
            </a:effectLst>
          </c:spPr>
          <c:marker>
            <c:symbol val="square"/>
            <c:size val="5"/>
            <c:spPr>
              <a:solidFill>
                <a:srgbClr val="FFFF00"/>
              </a:solidFill>
              <a:ln w="9525">
                <a:noFill/>
                <a:round/>
              </a:ln>
              <a:effectLst>
                <a:outerShdw blurRad="57150" dist="19050" dir="5400000" algn="ctr" rotWithShape="0">
                  <a:srgbClr val="000000">
                    <a:alpha val="63000"/>
                  </a:srgbClr>
                </a:outerShdw>
              </a:effectLst>
            </c:spPr>
          </c:marker>
          <c:cat>
            <c:numRef>
              <c:f>Graphs!$B$61:$B$63</c:f>
              <c:numCache>
                <c:formatCode>mmm\-yy</c:formatCode>
                <c:ptCount val="3"/>
                <c:pt idx="0">
                  <c:v>45108</c:v>
                </c:pt>
                <c:pt idx="1">
                  <c:v>45139</c:v>
                </c:pt>
                <c:pt idx="2">
                  <c:v>45170</c:v>
                </c:pt>
              </c:numCache>
              <c:extLst/>
            </c:numRef>
          </c:cat>
          <c:val>
            <c:numRef>
              <c:f>Graphs!$C$61:$C$63</c:f>
              <c:numCache>
                <c:formatCode>0.00</c:formatCode>
                <c:ptCount val="3"/>
                <c:pt idx="0">
                  <c:v>6.4740312203034156</c:v>
                </c:pt>
                <c:pt idx="1">
                  <c:v>6.5032456989838634</c:v>
                </c:pt>
                <c:pt idx="2">
                  <c:v>7.1090294082581496</c:v>
                </c:pt>
              </c:numCache>
              <c:extLst/>
            </c:numRef>
          </c:val>
          <c:smooth val="0"/>
          <c:extLst>
            <c:ext xmlns:c16="http://schemas.microsoft.com/office/drawing/2014/chart" uri="{C3380CC4-5D6E-409C-BE32-E72D297353CC}">
              <c16:uniqueId val="{00000000-406B-4227-B377-9059878D4B1A}"/>
            </c:ext>
          </c:extLst>
        </c:ser>
        <c:ser>
          <c:idx val="1"/>
          <c:order val="1"/>
          <c:tx>
            <c:strRef>
              <c:f>Graphs!$D$54</c:f>
              <c:strCache>
                <c:ptCount val="1"/>
                <c:pt idx="0">
                  <c:v>COO</c:v>
                </c:pt>
              </c:strCache>
            </c:strRef>
          </c:tx>
          <c:spPr>
            <a:ln w="34925" cap="rnd">
              <a:solidFill>
                <a:schemeClr val="accent2"/>
              </a:solidFill>
              <a:round/>
            </a:ln>
            <a:effectLst>
              <a:outerShdw blurRad="57150" dist="19050" dir="5400000" algn="ctr" rotWithShape="0">
                <a:srgbClr val="000000">
                  <a:alpha val="63000"/>
                </a:srgbClr>
              </a:outerShdw>
            </a:effectLst>
          </c:spPr>
          <c:marker>
            <c:symbol val="square"/>
            <c:size val="5"/>
            <c:spPr>
              <a:solidFill>
                <a:srgbClr val="00B0F0"/>
              </a:solidFill>
              <a:ln w="9525">
                <a:noFill/>
                <a:round/>
              </a:ln>
              <a:effectLst>
                <a:outerShdw blurRad="57150" dist="19050" dir="5400000" algn="ctr" rotWithShape="0">
                  <a:srgbClr val="000000">
                    <a:alpha val="63000"/>
                  </a:srgbClr>
                </a:outerShdw>
              </a:effectLst>
            </c:spPr>
          </c:marker>
          <c:cat>
            <c:strLit>
              <c:ptCount val="3"/>
              <c:pt idx="0">
                <c:v>Jul-23</c:v>
              </c:pt>
              <c:pt idx="1">
                <c:v>Aug-23</c:v>
              </c:pt>
              <c:pt idx="2">
                <c:v>Sep-23</c:v>
              </c:pt>
              <c:extLst>
                <c:ext xmlns:c15="http://schemas.microsoft.com/office/drawing/2012/chart" uri="{02D57815-91ED-43cb-92C2-25804820EDAC}">
                  <c15:autoCat val="1"/>
                </c:ext>
              </c:extLst>
            </c:strLit>
          </c:cat>
          <c:val>
            <c:numRef>
              <c:f>Graphs!$D$61:$D$63</c:f>
              <c:numCache>
                <c:formatCode>0.00</c:formatCode>
                <c:ptCount val="3"/>
                <c:pt idx="0">
                  <c:v>7.8006808512253736</c:v>
                </c:pt>
                <c:pt idx="1">
                  <c:v>6.528115254135936</c:v>
                </c:pt>
                <c:pt idx="2">
                  <c:v>5.2413770764337695</c:v>
                </c:pt>
              </c:numCache>
              <c:extLst/>
            </c:numRef>
          </c:val>
          <c:smooth val="0"/>
          <c:extLst>
            <c:ext xmlns:c16="http://schemas.microsoft.com/office/drawing/2014/chart" uri="{C3380CC4-5D6E-409C-BE32-E72D297353CC}">
              <c16:uniqueId val="{00000001-406B-4227-B377-9059878D4B1A}"/>
            </c:ext>
          </c:extLst>
        </c:ser>
        <c:ser>
          <c:idx val="2"/>
          <c:order val="2"/>
          <c:tx>
            <c:strRef>
              <c:f>Graphs!$E$54</c:f>
              <c:strCache>
                <c:ptCount val="1"/>
                <c:pt idx="0">
                  <c:v>DVC Ethics</c:v>
                </c:pt>
              </c:strCache>
            </c:strRef>
          </c:tx>
          <c:spPr>
            <a:ln w="34925" cap="rnd">
              <a:solidFill>
                <a:schemeClr val="accent3"/>
              </a:solidFill>
              <a:round/>
            </a:ln>
            <a:effectLst>
              <a:outerShdw blurRad="57150" dist="19050" dir="5400000" algn="ctr" rotWithShape="0">
                <a:srgbClr val="000000">
                  <a:alpha val="63000"/>
                </a:srgbClr>
              </a:outerShdw>
            </a:effectLst>
          </c:spPr>
          <c:marker>
            <c:symbol val="square"/>
            <c:size val="5"/>
            <c:spPr>
              <a:solidFill>
                <a:srgbClr val="FF0000"/>
              </a:solidFill>
              <a:ln w="9525">
                <a:noFill/>
                <a:round/>
              </a:ln>
              <a:effectLst>
                <a:outerShdw blurRad="57150" dist="19050" dir="5400000" algn="ctr" rotWithShape="0">
                  <a:srgbClr val="000000">
                    <a:alpha val="63000"/>
                  </a:srgbClr>
                </a:outerShdw>
              </a:effectLst>
            </c:spPr>
          </c:marker>
          <c:cat>
            <c:strLit>
              <c:ptCount val="3"/>
              <c:pt idx="0">
                <c:v>Jul-23</c:v>
              </c:pt>
              <c:pt idx="1">
                <c:v>Aug-23</c:v>
              </c:pt>
              <c:pt idx="2">
                <c:v>Sep-23</c:v>
              </c:pt>
              <c:extLst>
                <c:ext xmlns:c15="http://schemas.microsoft.com/office/drawing/2012/chart" uri="{02D57815-91ED-43cb-92C2-25804820EDAC}">
                  <c15:autoCat val="1"/>
                </c:ext>
              </c:extLst>
            </c:strLit>
          </c:cat>
          <c:val>
            <c:numRef>
              <c:f>Graphs!$E$61:$E$63</c:f>
              <c:numCache>
                <c:formatCode>0.00</c:formatCode>
                <c:ptCount val="3"/>
                <c:pt idx="0">
                  <c:v>0</c:v>
                </c:pt>
                <c:pt idx="1">
                  <c:v>0</c:v>
                </c:pt>
                <c:pt idx="2">
                  <c:v>0</c:v>
                </c:pt>
              </c:numCache>
              <c:extLst/>
            </c:numRef>
          </c:val>
          <c:smooth val="0"/>
          <c:extLst>
            <c:ext xmlns:c16="http://schemas.microsoft.com/office/drawing/2014/chart" uri="{C3380CC4-5D6E-409C-BE32-E72D297353CC}">
              <c16:uniqueId val="{00000002-406B-4227-B377-9059878D4B1A}"/>
            </c:ext>
          </c:extLst>
        </c:ser>
        <c:ser>
          <c:idx val="3"/>
          <c:order val="3"/>
          <c:tx>
            <c:strRef>
              <c:f>Graphs!$F$54</c:f>
              <c:strCache>
                <c:ptCount val="1"/>
                <c:pt idx="0">
                  <c:v>DVCRE</c:v>
                </c:pt>
              </c:strCache>
            </c:strRef>
          </c:tx>
          <c:spPr>
            <a:ln w="34925" cap="rnd">
              <a:solidFill>
                <a:schemeClr val="accent4"/>
              </a:solidFill>
              <a:round/>
            </a:ln>
            <a:effectLst>
              <a:outerShdw blurRad="57150" dist="19050" dir="5400000" algn="ctr" rotWithShape="0">
                <a:srgbClr val="000000">
                  <a:alpha val="63000"/>
                </a:srgbClr>
              </a:outerShdw>
            </a:effectLst>
          </c:spPr>
          <c:marker>
            <c:symbol val="square"/>
            <c:size val="5"/>
            <c:spPr>
              <a:solidFill>
                <a:srgbClr val="92D050"/>
              </a:solidFill>
              <a:ln w="9525">
                <a:noFill/>
                <a:round/>
              </a:ln>
              <a:effectLst>
                <a:outerShdw blurRad="57150" dist="19050" dir="5400000" algn="ctr" rotWithShape="0">
                  <a:srgbClr val="000000">
                    <a:alpha val="63000"/>
                  </a:srgbClr>
                </a:outerShdw>
              </a:effectLst>
            </c:spPr>
          </c:marker>
          <c:cat>
            <c:strLit>
              <c:ptCount val="3"/>
              <c:pt idx="0">
                <c:v>Jul-23</c:v>
              </c:pt>
              <c:pt idx="1">
                <c:v>Aug-23</c:v>
              </c:pt>
              <c:pt idx="2">
                <c:v>Sep-23</c:v>
              </c:pt>
              <c:extLst>
                <c:ext xmlns:c15="http://schemas.microsoft.com/office/drawing/2012/chart" uri="{02D57815-91ED-43cb-92C2-25804820EDAC}">
                  <c15:autoCat val="1"/>
                </c:ext>
              </c:extLst>
            </c:strLit>
          </c:cat>
          <c:val>
            <c:numRef>
              <c:f>Graphs!$F$61:$F$63</c:f>
              <c:numCache>
                <c:formatCode>0.00</c:formatCode>
                <c:ptCount val="3"/>
                <c:pt idx="0">
                  <c:v>15.396849958466994</c:v>
                </c:pt>
                <c:pt idx="1">
                  <c:v>15.594332769962067</c:v>
                </c:pt>
                <c:pt idx="2">
                  <c:v>15.908772733636233</c:v>
                </c:pt>
              </c:numCache>
              <c:extLst/>
            </c:numRef>
          </c:val>
          <c:smooth val="0"/>
          <c:extLst>
            <c:ext xmlns:c16="http://schemas.microsoft.com/office/drawing/2014/chart" uri="{C3380CC4-5D6E-409C-BE32-E72D297353CC}">
              <c16:uniqueId val="{00000003-406B-4227-B377-9059878D4B1A}"/>
            </c:ext>
          </c:extLst>
        </c:ser>
        <c:ser>
          <c:idx val="4"/>
          <c:order val="4"/>
          <c:tx>
            <c:strRef>
              <c:f>Graphs!$G$54</c:f>
              <c:strCache>
                <c:ptCount val="1"/>
                <c:pt idx="0">
                  <c:v>Provost</c:v>
                </c:pt>
              </c:strCache>
            </c:strRef>
          </c:tx>
          <c:spPr>
            <a:ln w="34925" cap="rnd">
              <a:solidFill>
                <a:schemeClr val="accent5"/>
              </a:solidFill>
              <a:round/>
            </a:ln>
            <a:effectLst>
              <a:outerShdw blurRad="57150" dist="19050" dir="5400000" algn="ctr" rotWithShape="0">
                <a:srgbClr val="000000">
                  <a:alpha val="63000"/>
                </a:srgbClr>
              </a:outerShdw>
            </a:effectLst>
          </c:spPr>
          <c:marker>
            <c:symbol val="square"/>
            <c:size val="5"/>
            <c:spPr>
              <a:solidFill>
                <a:srgbClr val="FFC000"/>
              </a:solidFill>
              <a:ln w="9525">
                <a:noFill/>
                <a:round/>
              </a:ln>
              <a:effectLst>
                <a:outerShdw blurRad="57150" dist="19050" dir="5400000" algn="ctr" rotWithShape="0">
                  <a:srgbClr val="000000">
                    <a:alpha val="63000"/>
                  </a:srgbClr>
                </a:outerShdw>
              </a:effectLst>
            </c:spPr>
          </c:marker>
          <c:cat>
            <c:strLit>
              <c:ptCount val="3"/>
              <c:pt idx="0">
                <c:v>Jul-23</c:v>
              </c:pt>
              <c:pt idx="1">
                <c:v>Aug-23</c:v>
              </c:pt>
              <c:pt idx="2">
                <c:v>Sep-23</c:v>
              </c:pt>
              <c:extLst>
                <c:ext xmlns:c15="http://schemas.microsoft.com/office/drawing/2012/chart" uri="{02D57815-91ED-43cb-92C2-25804820EDAC}">
                  <c15:autoCat val="1"/>
                </c:ext>
              </c:extLst>
            </c:strLit>
          </c:cat>
          <c:val>
            <c:numRef>
              <c:f>Graphs!$G$61:$G$63</c:f>
              <c:numCache>
                <c:formatCode>0.00</c:formatCode>
                <c:ptCount val="3"/>
                <c:pt idx="0">
                  <c:v>4.7960403402626683</c:v>
                </c:pt>
                <c:pt idx="1">
                  <c:v>5.2534509919566164</c:v>
                </c:pt>
                <c:pt idx="2">
                  <c:v>6.5705677475810562</c:v>
                </c:pt>
              </c:numCache>
              <c:extLst/>
            </c:numRef>
          </c:val>
          <c:smooth val="0"/>
          <c:extLst>
            <c:ext xmlns:c16="http://schemas.microsoft.com/office/drawing/2014/chart" uri="{C3380CC4-5D6E-409C-BE32-E72D297353CC}">
              <c16:uniqueId val="{00000004-406B-4227-B377-9059878D4B1A}"/>
            </c:ext>
          </c:extLst>
        </c:ser>
        <c:ser>
          <c:idx val="5"/>
          <c:order val="5"/>
          <c:tx>
            <c:strRef>
              <c:f>Graphs!$H$54</c:f>
              <c:strCache>
                <c:ptCount val="1"/>
                <c:pt idx="0">
                  <c:v>VP</c:v>
                </c:pt>
              </c:strCache>
            </c:strRef>
          </c:tx>
          <c:spPr>
            <a:ln w="34925" cap="rnd">
              <a:solidFill>
                <a:schemeClr val="accent6"/>
              </a:solidFill>
              <a:round/>
            </a:ln>
            <a:effectLst>
              <a:outerShdw blurRad="57150" dist="19050" dir="5400000" algn="ctr" rotWithShape="0">
                <a:srgbClr val="000000">
                  <a:alpha val="63000"/>
                </a:srgbClr>
              </a:outerShdw>
            </a:effectLst>
          </c:spPr>
          <c:marker>
            <c:symbol val="square"/>
            <c:size val="5"/>
            <c:spPr>
              <a:solidFill>
                <a:srgbClr val="FF0000"/>
              </a:solidFill>
              <a:ln w="9525">
                <a:noFill/>
                <a:round/>
              </a:ln>
              <a:effectLst>
                <a:outerShdw blurRad="57150" dist="19050" dir="5400000" algn="ctr" rotWithShape="0">
                  <a:srgbClr val="000000">
                    <a:alpha val="63000"/>
                  </a:srgbClr>
                </a:outerShdw>
              </a:effectLst>
            </c:spPr>
          </c:marker>
          <c:cat>
            <c:strLit>
              <c:ptCount val="3"/>
              <c:pt idx="0">
                <c:v>Jul-23</c:v>
              </c:pt>
              <c:pt idx="1">
                <c:v>Aug-23</c:v>
              </c:pt>
              <c:pt idx="2">
                <c:v>Sep-23</c:v>
              </c:pt>
              <c:extLst>
                <c:ext xmlns:c15="http://schemas.microsoft.com/office/drawing/2012/chart" uri="{02D57815-91ED-43cb-92C2-25804820EDAC}">
                  <c15:autoCat val="1"/>
                </c:ext>
              </c:extLst>
            </c:strLit>
          </c:cat>
          <c:val>
            <c:numRef>
              <c:f>Graphs!$H$61:$H$63</c:f>
              <c:numCache>
                <c:formatCode>0.00</c:formatCode>
                <c:ptCount val="3"/>
                <c:pt idx="0">
                  <c:v>0</c:v>
                </c:pt>
                <c:pt idx="1">
                  <c:v>0</c:v>
                </c:pt>
                <c:pt idx="2">
                  <c:v>0</c:v>
                </c:pt>
              </c:numCache>
              <c:extLst/>
            </c:numRef>
          </c:val>
          <c:smooth val="0"/>
          <c:extLst>
            <c:ext xmlns:c16="http://schemas.microsoft.com/office/drawing/2014/chart" uri="{C3380CC4-5D6E-409C-BE32-E72D297353CC}">
              <c16:uniqueId val="{00000005-406B-4227-B377-9059878D4B1A}"/>
            </c:ext>
          </c:extLst>
        </c:ser>
        <c:ser>
          <c:idx val="6"/>
          <c:order val="6"/>
          <c:tx>
            <c:strRef>
              <c:f>Graphs!$I$54</c:f>
              <c:strCache>
                <c:ptCount val="1"/>
                <c:pt idx="0">
                  <c:v>VC+P</c:v>
                </c:pt>
              </c:strCache>
            </c:strRef>
          </c:tx>
          <c:spPr>
            <a:ln w="34925" cap="rnd">
              <a:solidFill>
                <a:srgbClr val="FF0000"/>
              </a:solidFill>
              <a:round/>
            </a:ln>
            <a:effectLst>
              <a:outerShdw blurRad="57150" dist="19050" dir="5400000" algn="ctr" rotWithShape="0">
                <a:srgbClr val="000000">
                  <a:alpha val="63000"/>
                </a:srgbClr>
              </a:outerShdw>
            </a:effectLst>
          </c:spPr>
          <c:marker>
            <c:symbol val="square"/>
            <c:size val="5"/>
            <c:spPr>
              <a:solidFill>
                <a:schemeClr val="bg1"/>
              </a:solidFill>
              <a:ln w="9525">
                <a:noFill/>
                <a:round/>
              </a:ln>
              <a:effectLst>
                <a:outerShdw blurRad="57150" dist="19050" dir="5400000" algn="ctr" rotWithShape="0">
                  <a:srgbClr val="000000">
                    <a:alpha val="63000"/>
                  </a:srgbClr>
                </a:outerShdw>
              </a:effectLst>
            </c:spPr>
          </c:marker>
          <c:cat>
            <c:strLit>
              <c:ptCount val="3"/>
              <c:pt idx="0">
                <c:v>Jul-23</c:v>
              </c:pt>
              <c:pt idx="1">
                <c:v>Aug-23</c:v>
              </c:pt>
              <c:pt idx="2">
                <c:v>Sep-23</c:v>
              </c:pt>
              <c:extLst>
                <c:ext xmlns:c15="http://schemas.microsoft.com/office/drawing/2012/chart" uri="{02D57815-91ED-43cb-92C2-25804820EDAC}">
                  <c15:autoCat val="1"/>
                </c:ext>
              </c:extLst>
            </c:strLit>
          </c:cat>
          <c:val>
            <c:numRef>
              <c:f>Graphs!$I$61:$I$63</c:f>
              <c:numCache>
                <c:formatCode>0.00</c:formatCode>
                <c:ptCount val="3"/>
                <c:pt idx="0">
                  <c:v>40.583089716427686</c:v>
                </c:pt>
                <c:pt idx="1">
                  <c:v>40.001872087613698</c:v>
                </c:pt>
                <c:pt idx="2">
                  <c:v>40.125713861528169</c:v>
                </c:pt>
              </c:numCache>
              <c:extLst/>
            </c:numRef>
          </c:val>
          <c:smooth val="0"/>
          <c:extLst>
            <c:ext xmlns:c16="http://schemas.microsoft.com/office/drawing/2014/chart" uri="{C3380CC4-5D6E-409C-BE32-E72D297353CC}">
              <c16:uniqueId val="{00000006-406B-4227-B377-9059878D4B1A}"/>
            </c:ext>
          </c:extLst>
        </c:ser>
        <c:dLbls>
          <c:showLegendKey val="0"/>
          <c:showVal val="0"/>
          <c:showCatName val="0"/>
          <c:showSerName val="0"/>
          <c:showPercent val="0"/>
          <c:showBubbleSize val="0"/>
        </c:dLbls>
        <c:marker val="1"/>
        <c:smooth val="0"/>
        <c:axId val="1755472960"/>
        <c:axId val="1755473440"/>
      </c:lineChart>
      <c:dateAx>
        <c:axId val="1755472960"/>
        <c:scaling>
          <c:orientation val="minMax"/>
        </c:scaling>
        <c:delete val="0"/>
        <c:axPos val="b"/>
        <c:numFmt formatCode="mmm\-yy" sourceLinked="1"/>
        <c:majorTickMark val="out"/>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755473440"/>
        <c:crosses val="autoZero"/>
        <c:auto val="1"/>
        <c:lblOffset val="100"/>
        <c:baseTimeUnit val="months"/>
      </c:dateAx>
      <c:valAx>
        <c:axId val="1755473440"/>
        <c:scaling>
          <c:orientation val="minMax"/>
        </c:scaling>
        <c:delete val="0"/>
        <c:axPos val="l"/>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755472960"/>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lt1">
                    <a:lumMod val="8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34CF4-FD62-4359-A3CF-401D50C05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2369</Words>
  <Characters>13507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15845</CharactersWithSpaces>
  <SharedDoc>false</SharedDoc>
  <HLinks>
    <vt:vector size="102" baseType="variant">
      <vt:variant>
        <vt:i4>4849774</vt:i4>
      </vt:variant>
      <vt:variant>
        <vt:i4>48</vt:i4>
      </vt:variant>
      <vt:variant>
        <vt:i4>0</vt:i4>
      </vt:variant>
      <vt:variant>
        <vt:i4>5</vt:i4>
      </vt:variant>
      <vt:variant>
        <vt:lpwstr>https://policies.acu.edu.au/Human Resources/health_safety_and_well-being</vt:lpwstr>
      </vt:variant>
      <vt:variant>
        <vt:lpwstr/>
      </vt:variant>
      <vt:variant>
        <vt:i4>5046382</vt:i4>
      </vt:variant>
      <vt:variant>
        <vt:i4>45</vt:i4>
      </vt:variant>
      <vt:variant>
        <vt:i4>0</vt:i4>
      </vt:variant>
      <vt:variant>
        <vt:i4>5</vt:i4>
      </vt:variant>
      <vt:variant>
        <vt:lpwstr>https://staff.acu.edu.au/human_resources/your-safety-and-wellbeing/work-health-and-safety-management-system/whs-video-library</vt:lpwstr>
      </vt:variant>
      <vt:variant>
        <vt:lpwstr/>
      </vt:variant>
      <vt:variant>
        <vt:i4>5505036</vt:i4>
      </vt:variant>
      <vt:variant>
        <vt:i4>42</vt:i4>
      </vt:variant>
      <vt:variant>
        <vt:i4>0</vt:i4>
      </vt:variant>
      <vt:variant>
        <vt:i4>5</vt:i4>
      </vt:variant>
      <vt:variant>
        <vt:lpwstr>https://policies.acu.edu.au/human-resources/health_safety_and_well-being/whs_inspections</vt:lpwstr>
      </vt:variant>
      <vt:variant>
        <vt:lpwstr/>
      </vt:variant>
      <vt:variant>
        <vt:i4>7536749</vt:i4>
      </vt:variant>
      <vt:variant>
        <vt:i4>39</vt:i4>
      </vt:variant>
      <vt:variant>
        <vt:i4>0</vt:i4>
      </vt:variant>
      <vt:variant>
        <vt:i4>5</vt:i4>
      </vt:variant>
      <vt:variant>
        <vt:lpwstr>https://acu.safetyhub.com/embeddirect/TUWCF209/2099944</vt:lpwstr>
      </vt:variant>
      <vt:variant>
        <vt:lpwstr/>
      </vt:variant>
      <vt:variant>
        <vt:i4>7405587</vt:i4>
      </vt:variant>
      <vt:variant>
        <vt:i4>36</vt:i4>
      </vt:variant>
      <vt:variant>
        <vt:i4>0</vt:i4>
      </vt:variant>
      <vt:variant>
        <vt:i4>5</vt:i4>
      </vt:variant>
      <vt:variant>
        <vt:lpwstr>https://policies.acu.edu.au/human-resources/health_safety_and_well-being/ohs_risk_management</vt:lpwstr>
      </vt:variant>
      <vt:variant>
        <vt:lpwstr/>
      </vt:variant>
      <vt:variant>
        <vt:i4>7536749</vt:i4>
      </vt:variant>
      <vt:variant>
        <vt:i4>33</vt:i4>
      </vt:variant>
      <vt:variant>
        <vt:i4>0</vt:i4>
      </vt:variant>
      <vt:variant>
        <vt:i4>5</vt:i4>
      </vt:variant>
      <vt:variant>
        <vt:lpwstr>https://acu.safetyhub.com/embeddirect/TUWCF209/2099944</vt:lpwstr>
      </vt:variant>
      <vt:variant>
        <vt:lpwstr/>
      </vt:variant>
      <vt:variant>
        <vt:i4>1835065</vt:i4>
      </vt:variant>
      <vt:variant>
        <vt:i4>30</vt:i4>
      </vt:variant>
      <vt:variant>
        <vt:i4>0</vt:i4>
      </vt:variant>
      <vt:variant>
        <vt:i4>5</vt:i4>
      </vt:variant>
      <vt:variant>
        <vt:lpwstr>https://staff.acu.edu.au/our_university/news/2020/may/introducing-carm-the-risk-management-system</vt:lpwstr>
      </vt:variant>
      <vt:variant>
        <vt:lpwstr/>
      </vt:variant>
      <vt:variant>
        <vt:i4>720928</vt:i4>
      </vt:variant>
      <vt:variant>
        <vt:i4>27</vt:i4>
      </vt:variant>
      <vt:variant>
        <vt:i4>0</vt:i4>
      </vt:variant>
      <vt:variant>
        <vt:i4>5</vt:i4>
      </vt:variant>
      <vt:variant>
        <vt:lpwstr>https://staff.acu.edu.au/human_resources/your-safety-and-wellbeing/whs_risk_management/reporting-incidents-and-injuries-on-riskware</vt:lpwstr>
      </vt:variant>
      <vt:variant>
        <vt:lpwstr/>
      </vt:variant>
      <vt:variant>
        <vt:i4>4718653</vt:i4>
      </vt:variant>
      <vt:variant>
        <vt:i4>24</vt:i4>
      </vt:variant>
      <vt:variant>
        <vt:i4>0</vt:i4>
      </vt:variant>
      <vt:variant>
        <vt:i4>5</vt:i4>
      </vt:variant>
      <vt:variant>
        <vt:lpwstr>https://policies.acu.edu.au/human-resources/health_safety_and_well-being/whsms-safety-in-design-procedure</vt:lpwstr>
      </vt:variant>
      <vt:variant>
        <vt:lpwstr/>
      </vt:variant>
      <vt:variant>
        <vt:i4>7405587</vt:i4>
      </vt:variant>
      <vt:variant>
        <vt:i4>21</vt:i4>
      </vt:variant>
      <vt:variant>
        <vt:i4>0</vt:i4>
      </vt:variant>
      <vt:variant>
        <vt:i4>5</vt:i4>
      </vt:variant>
      <vt:variant>
        <vt:lpwstr>https://policies.acu.edu.au/human-resources/health_safety_and_well-being/ohs_risk_management</vt:lpwstr>
      </vt:variant>
      <vt:variant>
        <vt:lpwstr/>
      </vt:variant>
      <vt:variant>
        <vt:i4>5505036</vt:i4>
      </vt:variant>
      <vt:variant>
        <vt:i4>18</vt:i4>
      </vt:variant>
      <vt:variant>
        <vt:i4>0</vt:i4>
      </vt:variant>
      <vt:variant>
        <vt:i4>5</vt:i4>
      </vt:variant>
      <vt:variant>
        <vt:lpwstr>https://policies.acu.edu.au/human-resources/health_safety_and_well-being/whs_inspections</vt:lpwstr>
      </vt:variant>
      <vt:variant>
        <vt:lpwstr/>
      </vt:variant>
      <vt:variant>
        <vt:i4>5046382</vt:i4>
      </vt:variant>
      <vt:variant>
        <vt:i4>15</vt:i4>
      </vt:variant>
      <vt:variant>
        <vt:i4>0</vt:i4>
      </vt:variant>
      <vt:variant>
        <vt:i4>5</vt:i4>
      </vt:variant>
      <vt:variant>
        <vt:lpwstr>https://staff.acu.edu.au/human_resources/your-safety-and-wellbeing/work-health-and-safety-management-system/whs-video-library</vt:lpwstr>
      </vt:variant>
      <vt:variant>
        <vt:lpwstr/>
      </vt:variant>
      <vt:variant>
        <vt:i4>5046382</vt:i4>
      </vt:variant>
      <vt:variant>
        <vt:i4>12</vt:i4>
      </vt:variant>
      <vt:variant>
        <vt:i4>0</vt:i4>
      </vt:variant>
      <vt:variant>
        <vt:i4>5</vt:i4>
      </vt:variant>
      <vt:variant>
        <vt:lpwstr>https://staff.acu.edu.au/human_resources/your-safety-and-wellbeing/work-health-and-safety-management-system/whs-video-library</vt:lpwstr>
      </vt:variant>
      <vt:variant>
        <vt:lpwstr/>
      </vt:variant>
      <vt:variant>
        <vt:i4>4587597</vt:i4>
      </vt:variant>
      <vt:variant>
        <vt:i4>9</vt:i4>
      </vt:variant>
      <vt:variant>
        <vt:i4>0</vt:i4>
      </vt:variant>
      <vt:variant>
        <vt:i4>5</vt:i4>
      </vt:variant>
      <vt:variant>
        <vt:lpwstr>https://staff.acu.edu.au/-/media/staff-site-rte-docs-only/human-resources/mandatory-actions-taken-by-organisational-units-to-implement-our-whsms-20200506.pdf</vt:lpwstr>
      </vt:variant>
      <vt:variant>
        <vt:lpwstr/>
      </vt:variant>
      <vt:variant>
        <vt:i4>6422574</vt:i4>
      </vt:variant>
      <vt:variant>
        <vt:i4>6</vt:i4>
      </vt:variant>
      <vt:variant>
        <vt:i4>0</vt:i4>
      </vt:variant>
      <vt:variant>
        <vt:i4>5</vt:i4>
      </vt:variant>
      <vt:variant>
        <vt:lpwstr>http://www.acu.edu.au/whsactionplan</vt:lpwstr>
      </vt:variant>
      <vt:variant>
        <vt:lpwstr/>
      </vt:variant>
      <vt:variant>
        <vt:i4>655389</vt:i4>
      </vt:variant>
      <vt:variant>
        <vt:i4>3</vt:i4>
      </vt:variant>
      <vt:variant>
        <vt:i4>0</vt:i4>
      </vt:variant>
      <vt:variant>
        <vt:i4>5</vt:i4>
      </vt:variant>
      <vt:variant>
        <vt:lpwstr>https://www.health.gov.au/resources/publications/atagi-advice-on-influenza-and-covid-19-vaccines</vt:lpwstr>
      </vt:variant>
      <vt:variant>
        <vt:lpwstr/>
      </vt:variant>
      <vt:variant>
        <vt:i4>3473504</vt:i4>
      </vt:variant>
      <vt:variant>
        <vt:i4>0</vt:i4>
      </vt:variant>
      <vt:variant>
        <vt:i4>0</vt:i4>
      </vt:variant>
      <vt:variant>
        <vt:i4>5</vt:i4>
      </vt:variant>
      <vt:variant>
        <vt:lpwstr>https://www.abc.net.au/news/health/2020-03-05/when-to-get-flu-vaccine-coronavirus-covid-19/12024498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acu</dc:creator>
  <cp:keywords/>
  <dc:description/>
  <cp:lastModifiedBy>Brett Carroll</cp:lastModifiedBy>
  <cp:revision>2</cp:revision>
  <cp:lastPrinted>2023-07-20T01:53:00Z</cp:lastPrinted>
  <dcterms:created xsi:type="dcterms:W3CDTF">2023-11-21T20:52:00Z</dcterms:created>
  <dcterms:modified xsi:type="dcterms:W3CDTF">2023-11-21T20:52:00Z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Office 365</vt:lpwstr>
  </property>
</Properties>
</file>